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0"/>
      </w:tblGrid>
      <w:tr w:rsidR="001564A4" w:rsidRPr="002D378A" w14:paraId="5C38377B" w14:textId="77777777" w:rsidTr="002D378A">
        <w:trPr>
          <w:trHeight w:val="841"/>
          <w:jc w:val="center"/>
        </w:trPr>
        <w:tc>
          <w:tcPr>
            <w:tcW w:w="8640" w:type="dxa"/>
            <w:shd w:val="clear" w:color="auto" w:fill="auto"/>
            <w:vAlign w:val="center"/>
          </w:tcPr>
          <w:p w14:paraId="5C44F357" w14:textId="09BFFEA3" w:rsidR="001564A4" w:rsidRPr="002D378A" w:rsidRDefault="002D378A" w:rsidP="00127AFC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lang w:val="en-US" w:eastAsia="zh-CN"/>
              </w:rPr>
            </w:pPr>
            <w:r w:rsidRPr="002D378A">
              <w:rPr>
                <w:rFonts w:ascii="Arial" w:hAnsi="Arial" w:cs="Arial"/>
                <w:b/>
                <w:sz w:val="22"/>
                <w:szCs w:val="22"/>
                <w:lang w:val="en-US" w:eastAsia="en-GB"/>
              </w:rPr>
              <w:t>Creatine supplementation attenuates pathogen-induced airway inflammation in pediatric primary airway epithelial cells</w:t>
            </w:r>
          </w:p>
        </w:tc>
      </w:tr>
      <w:tr w:rsidR="001564A4" w:rsidRPr="002D378A" w14:paraId="385A19D9" w14:textId="77777777" w:rsidTr="002D378A">
        <w:trPr>
          <w:trHeight w:val="905"/>
          <w:jc w:val="center"/>
        </w:trPr>
        <w:tc>
          <w:tcPr>
            <w:tcW w:w="8640" w:type="dxa"/>
            <w:shd w:val="clear" w:color="auto" w:fill="auto"/>
            <w:vAlign w:val="center"/>
          </w:tcPr>
          <w:p w14:paraId="45ED36BF" w14:textId="4046BBC2" w:rsidR="001564A4" w:rsidRPr="002D378A" w:rsidRDefault="002D378A" w:rsidP="00127AFC">
            <w:pPr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</w:pPr>
            <w:r w:rsidRPr="002D378A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Y. Jane Choi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1,2</w:t>
            </w:r>
            <w:r w:rsidRPr="002D378A">
              <w:rPr>
                <w:rFonts w:ascii="Arial" w:hAnsi="Arial" w:cs="Arial"/>
                <w:sz w:val="22"/>
                <w:szCs w:val="22"/>
              </w:rPr>
              <w:t>, Kak Ming Ling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2D378A">
              <w:rPr>
                <w:rFonts w:ascii="Arial" w:hAnsi="Arial" w:cs="Arial"/>
                <w:sz w:val="22"/>
                <w:szCs w:val="22"/>
              </w:rPr>
              <w:t>, Erika N Sutanto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2D378A">
              <w:rPr>
                <w:rFonts w:ascii="Arial" w:hAnsi="Arial" w:cs="Arial"/>
                <w:sz w:val="22"/>
                <w:szCs w:val="22"/>
              </w:rPr>
              <w:t>, Thomas Iosifidis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2D378A">
              <w:rPr>
                <w:rFonts w:ascii="Arial" w:hAnsi="Arial" w:cs="Arial"/>
                <w:sz w:val="22"/>
                <w:szCs w:val="22"/>
              </w:rPr>
              <w:t>, Luke J. Berry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1</w:t>
            </w:r>
            <w:r w:rsidRPr="002D378A">
              <w:rPr>
                <w:rFonts w:ascii="Arial" w:hAnsi="Arial" w:cs="Arial"/>
                <w:sz w:val="22"/>
                <w:szCs w:val="22"/>
              </w:rPr>
              <w:t>, Yu Suk Choi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  <w:r w:rsidRPr="002D378A">
              <w:rPr>
                <w:rFonts w:ascii="Arial" w:hAnsi="Arial" w:cs="Arial"/>
                <w:sz w:val="22"/>
                <w:szCs w:val="22"/>
              </w:rPr>
              <w:t>, Jessica Terrill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Pr="002D378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D378A">
              <w:rPr>
                <w:rFonts w:ascii="Arial" w:hAnsi="Arial" w:cs="Arial"/>
                <w:sz w:val="22"/>
                <w:szCs w:val="22"/>
                <w:lang w:val="en-US"/>
              </w:rPr>
              <w:t>J. Jane Pillow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1,2</w:t>
            </w:r>
            <w:r w:rsidRPr="002D378A">
              <w:rPr>
                <w:rFonts w:ascii="Arial" w:hAnsi="Arial" w:cs="Arial"/>
                <w:sz w:val="22"/>
                <w:szCs w:val="22"/>
                <w:lang w:val="en-US"/>
              </w:rPr>
              <w:t>, Anthony Kicic</w:t>
            </w:r>
            <w:r w:rsidRPr="002D378A">
              <w:rPr>
                <w:rFonts w:ascii="Arial" w:hAnsi="Arial" w:cs="Arial"/>
                <w:sz w:val="22"/>
                <w:szCs w:val="22"/>
                <w:vertAlign w:val="superscript"/>
                <w:lang w:val="en-US"/>
              </w:rPr>
              <w:t>1,4</w:t>
            </w:r>
          </w:p>
        </w:tc>
      </w:tr>
      <w:tr w:rsidR="002D378A" w:rsidRPr="002D378A" w14:paraId="4CCA87A4" w14:textId="77777777" w:rsidTr="000A28E2">
        <w:trPr>
          <w:trHeight w:val="1329"/>
          <w:jc w:val="center"/>
        </w:trPr>
        <w:tc>
          <w:tcPr>
            <w:tcW w:w="8640" w:type="dxa"/>
            <w:shd w:val="clear" w:color="auto" w:fill="auto"/>
          </w:tcPr>
          <w:p w14:paraId="496C26EB" w14:textId="77777777" w:rsidR="002D378A" w:rsidRPr="002D378A" w:rsidRDefault="002D378A" w:rsidP="00127AFC">
            <w:pPr>
              <w:rPr>
                <w:rFonts w:ascii="Arial" w:hAnsi="Arial" w:cs="Arial"/>
                <w:bCs/>
                <w:sz w:val="22"/>
                <w:szCs w:val="22"/>
                <w:lang w:eastAsia="ko-KR"/>
              </w:rPr>
            </w:pPr>
          </w:p>
          <w:p w14:paraId="551DED85" w14:textId="3E961BDA" w:rsidR="002D378A" w:rsidRPr="002D378A" w:rsidRDefault="002D378A" w:rsidP="00127AF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D378A">
              <w:rPr>
                <w:rFonts w:ascii="Arial" w:hAnsi="Arial" w:cs="Arial"/>
                <w:i/>
                <w:sz w:val="22"/>
                <w:szCs w:val="22"/>
                <w:vertAlign w:val="superscript"/>
              </w:rPr>
              <w:t>1</w:t>
            </w:r>
            <w:r w:rsidRPr="002D378A">
              <w:rPr>
                <w:rFonts w:ascii="Arial" w:hAnsi="Arial" w:cs="Arial"/>
                <w:i/>
                <w:sz w:val="22"/>
                <w:szCs w:val="22"/>
              </w:rPr>
              <w:t xml:space="preserve">Wal-yan Respiratory Research Centre, Telethon Kids Institute, </w:t>
            </w:r>
            <w:r w:rsidR="00127AFC">
              <w:rPr>
                <w:rFonts w:ascii="Arial" w:hAnsi="Arial" w:cs="Arial"/>
                <w:i/>
                <w:sz w:val="22"/>
                <w:szCs w:val="22"/>
              </w:rPr>
              <w:t>WA</w:t>
            </w:r>
            <w:r w:rsidRPr="002D378A">
              <w:rPr>
                <w:rFonts w:ascii="Arial" w:hAnsi="Arial" w:cs="Arial"/>
                <w:i/>
                <w:sz w:val="22"/>
                <w:szCs w:val="22"/>
              </w:rPr>
              <w:t>, Australia</w:t>
            </w:r>
          </w:p>
          <w:p w14:paraId="782DF396" w14:textId="0CD3858B" w:rsidR="002D378A" w:rsidRPr="002D378A" w:rsidRDefault="002D378A" w:rsidP="00127AF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2D378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2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School of Human Sciences, University of Western Australia, </w:t>
            </w:r>
            <w:r w:rsidR="00127AFC">
              <w:rPr>
                <w:rFonts w:ascii="Arial" w:hAnsi="Arial" w:cs="Arial"/>
                <w:i/>
                <w:sz w:val="22"/>
                <w:szCs w:val="22"/>
              </w:rPr>
              <w:t>W</w:t>
            </w:r>
            <w:r w:rsidR="00127AFC">
              <w:rPr>
                <w:rFonts w:ascii="Arial" w:hAnsi="Arial" w:cs="Arial"/>
                <w:i/>
                <w:sz w:val="22"/>
                <w:szCs w:val="22"/>
              </w:rPr>
              <w:t>A,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 Australia</w:t>
            </w:r>
          </w:p>
          <w:p w14:paraId="15E6AD64" w14:textId="077BFA83" w:rsidR="002D378A" w:rsidRPr="002D378A" w:rsidRDefault="002D378A" w:rsidP="00127AFC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  <w:r w:rsidRPr="002D378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3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School of Molecular Biology, University of Western Australia, </w:t>
            </w:r>
            <w:r w:rsidR="00127AFC">
              <w:rPr>
                <w:rFonts w:ascii="Arial" w:hAnsi="Arial" w:cs="Arial"/>
                <w:i/>
                <w:sz w:val="22"/>
                <w:szCs w:val="22"/>
              </w:rPr>
              <w:t>WA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>, Australia</w:t>
            </w:r>
          </w:p>
          <w:p w14:paraId="4D969E62" w14:textId="7B7EBE62" w:rsidR="002D378A" w:rsidRPr="002D378A" w:rsidRDefault="002D378A" w:rsidP="00127AFC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2D378A">
              <w:rPr>
                <w:rFonts w:ascii="Arial" w:hAnsi="Arial" w:cs="Arial"/>
                <w:i/>
                <w:sz w:val="22"/>
                <w:szCs w:val="22"/>
                <w:vertAlign w:val="superscript"/>
                <w:lang w:val="en-US"/>
              </w:rPr>
              <w:t>4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 xml:space="preserve">School of Population Health, Curtin University, </w:t>
            </w:r>
            <w:r w:rsidR="00127AFC">
              <w:rPr>
                <w:rFonts w:ascii="Arial" w:hAnsi="Arial" w:cs="Arial"/>
                <w:i/>
                <w:sz w:val="22"/>
                <w:szCs w:val="22"/>
              </w:rPr>
              <w:t>WA</w:t>
            </w:r>
            <w:r w:rsidRPr="002D378A">
              <w:rPr>
                <w:rFonts w:ascii="Arial" w:hAnsi="Arial" w:cs="Arial"/>
                <w:i/>
                <w:sz w:val="22"/>
                <w:szCs w:val="22"/>
                <w:lang w:val="en-US"/>
              </w:rPr>
              <w:t>, Australia</w:t>
            </w:r>
          </w:p>
          <w:p w14:paraId="07B52EA1" w14:textId="77777777" w:rsidR="002D378A" w:rsidRPr="002D378A" w:rsidRDefault="002D378A" w:rsidP="00127AF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564A4" w:rsidRPr="002D378A" w14:paraId="6DAF615A" w14:textId="77777777" w:rsidTr="00127AFC">
        <w:trPr>
          <w:trHeight w:hRule="exact" w:val="9625"/>
          <w:jc w:val="center"/>
        </w:trPr>
        <w:tc>
          <w:tcPr>
            <w:tcW w:w="8640" w:type="dxa"/>
            <w:shd w:val="clear" w:color="auto" w:fill="auto"/>
          </w:tcPr>
          <w:p w14:paraId="3D770CF7" w14:textId="5026A8F4" w:rsidR="001564A4" w:rsidRPr="002D378A" w:rsidRDefault="001564A4" w:rsidP="00127AFC">
            <w:pPr>
              <w:pStyle w:val="Pa12"/>
              <w:spacing w:line="240" w:lineRule="auto"/>
              <w:jc w:val="both"/>
              <w:rPr>
                <w:rStyle w:val="A4"/>
              </w:rPr>
            </w:pPr>
            <w:r w:rsidRPr="002D378A">
              <w:rPr>
                <w:rStyle w:val="A4"/>
                <w:b/>
                <w:bCs/>
              </w:rPr>
              <w:t xml:space="preserve">Introduction/Aim: </w:t>
            </w:r>
            <w:r w:rsidR="002D378A" w:rsidRPr="002D378A">
              <w:rPr>
                <w:rStyle w:val="A4"/>
              </w:rPr>
              <w:t>Airway inflammation and oxidative stress are hallmarks of airway disease, and pathogen infection may worsen the disease condition. Creatine is a nutritional supplement with anti-inflammatory and antioxidant properties. We investigated whether creatine supplementation mitigates pro-inflammatory and oxidative stress host responses in a model of pathogen-induced airway inflammation.</w:t>
            </w:r>
          </w:p>
          <w:p w14:paraId="102ED0FF" w14:textId="77777777" w:rsidR="00F248F9" w:rsidRDefault="00F248F9" w:rsidP="00127AFC">
            <w:pPr>
              <w:pStyle w:val="Pa12"/>
              <w:spacing w:line="240" w:lineRule="auto"/>
              <w:jc w:val="both"/>
              <w:rPr>
                <w:rStyle w:val="A4"/>
                <w:b/>
                <w:bCs/>
              </w:rPr>
            </w:pPr>
          </w:p>
          <w:p w14:paraId="5029BAE6" w14:textId="7DCEB106" w:rsidR="001564A4" w:rsidRDefault="001564A4" w:rsidP="00127AFC">
            <w:pPr>
              <w:pStyle w:val="Pa12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378A">
              <w:rPr>
                <w:rStyle w:val="A4"/>
                <w:b/>
                <w:bCs/>
              </w:rPr>
              <w:t xml:space="preserve">Methods: </w:t>
            </w:r>
            <w:r w:rsidR="002D378A" w:rsidRPr="002D378A">
              <w:rPr>
                <w:bCs/>
                <w:sz w:val="22"/>
                <w:szCs w:val="22"/>
              </w:rPr>
              <w:t>Primary nasal airway epithelial cells (AEC) were sampled from non-wheezing, non-atopic infants undergoing elective surgery for non-respiratory related conditions (n=</w:t>
            </w:r>
            <w:r w:rsidR="00F248F9">
              <w:rPr>
                <w:bCs/>
                <w:sz w:val="22"/>
                <w:szCs w:val="22"/>
              </w:rPr>
              <w:t>8</w:t>
            </w:r>
            <w:r w:rsidR="002D378A" w:rsidRPr="002D378A">
              <w:rPr>
                <w:bCs/>
                <w:sz w:val="22"/>
                <w:szCs w:val="22"/>
              </w:rPr>
              <w:t xml:space="preserve">, </w:t>
            </w:r>
            <w:r w:rsidR="00F248F9">
              <w:rPr>
                <w:bCs/>
                <w:sz w:val="22"/>
                <w:szCs w:val="22"/>
              </w:rPr>
              <w:t>3.2</w:t>
            </w:r>
            <w:r w:rsidR="002D378A" w:rsidRPr="002D378A">
              <w:rPr>
                <w:bCs/>
                <w:sz w:val="22"/>
                <w:szCs w:val="22"/>
              </w:rPr>
              <w:t>±</w:t>
            </w:r>
            <w:r w:rsidR="00F248F9">
              <w:rPr>
                <w:bCs/>
                <w:sz w:val="22"/>
                <w:szCs w:val="22"/>
              </w:rPr>
              <w:t>1.0</w:t>
            </w:r>
            <w:r w:rsidR="002D378A" w:rsidRPr="002D378A">
              <w:rPr>
                <w:bCs/>
                <w:sz w:val="22"/>
                <w:szCs w:val="22"/>
              </w:rPr>
              <w:t xml:space="preserve"> years, </w:t>
            </w:r>
            <w:r w:rsidR="00F248F9">
              <w:rPr>
                <w:bCs/>
                <w:sz w:val="22"/>
                <w:szCs w:val="22"/>
              </w:rPr>
              <w:t>4</w:t>
            </w:r>
            <w:r w:rsidR="002D378A" w:rsidRPr="002D378A">
              <w:rPr>
                <w:bCs/>
                <w:sz w:val="22"/>
                <w:szCs w:val="22"/>
              </w:rPr>
              <w:t xml:space="preserve"> males). Primary AECs were established as air-liquid interface (ALI) cultures and pre-treated with </w:t>
            </w:r>
            <w:proofErr w:type="spellStart"/>
            <w:r w:rsidR="002D378A" w:rsidRPr="002D378A">
              <w:rPr>
                <w:bCs/>
                <w:sz w:val="22"/>
                <w:szCs w:val="22"/>
              </w:rPr>
              <w:t>PneumaCult</w:t>
            </w:r>
            <w:r w:rsidR="002D378A" w:rsidRPr="002D378A">
              <w:rPr>
                <w:bCs/>
                <w:sz w:val="22"/>
                <w:szCs w:val="22"/>
                <w:vertAlign w:val="superscript"/>
              </w:rPr>
              <w:t>TM</w:t>
            </w:r>
            <w:proofErr w:type="spellEnd"/>
            <w:r w:rsidR="002D378A" w:rsidRPr="002D378A">
              <w:rPr>
                <w:bCs/>
                <w:sz w:val="22"/>
                <w:szCs w:val="22"/>
              </w:rPr>
              <w:t>-ALI growth media supplemented with 0, 1 and 10mM creatine monohydrate for 24 hours (h) before stimulation with 50 µg/mL lipopolysaccharide (LPS; O55:B5). Trans-epithelial electrical resistance (TEER) was measured at 6, 12, 24 and 72h post-LPS exposure, and supernatants and RNA were analysed for cytotoxicity, inflammatory markers, and gene expression. Statistical analyses were conducted using linear mixed-effect modelling.</w:t>
            </w:r>
          </w:p>
          <w:p w14:paraId="7D6A3E51" w14:textId="77777777" w:rsidR="00F248F9" w:rsidRPr="00F248F9" w:rsidRDefault="00F248F9" w:rsidP="00127AFC">
            <w:pPr>
              <w:pStyle w:val="Default"/>
              <w:jc w:val="both"/>
            </w:pPr>
          </w:p>
          <w:p w14:paraId="68537800" w14:textId="6FE5B577" w:rsidR="001564A4" w:rsidRDefault="001564A4" w:rsidP="00127AFC">
            <w:pPr>
              <w:pStyle w:val="Pa12"/>
              <w:spacing w:line="240" w:lineRule="auto"/>
              <w:jc w:val="both"/>
              <w:rPr>
                <w:bCs/>
                <w:sz w:val="22"/>
                <w:szCs w:val="22"/>
              </w:rPr>
            </w:pPr>
            <w:r w:rsidRPr="002D378A">
              <w:rPr>
                <w:rStyle w:val="A4"/>
                <w:b/>
                <w:bCs/>
              </w:rPr>
              <w:t xml:space="preserve">Results: </w:t>
            </w:r>
            <w:r w:rsidR="002D378A" w:rsidRPr="002D378A">
              <w:rPr>
                <w:bCs/>
                <w:sz w:val="22"/>
                <w:szCs w:val="22"/>
              </w:rPr>
              <w:t>LPS reduced TEER (p=</w:t>
            </w:r>
            <w:r w:rsidR="00FF20B9">
              <w:rPr>
                <w:bCs/>
                <w:sz w:val="22"/>
                <w:szCs w:val="22"/>
              </w:rPr>
              <w:t>0.031</w:t>
            </w:r>
            <w:r w:rsidR="002D378A" w:rsidRPr="002D378A">
              <w:rPr>
                <w:bCs/>
                <w:sz w:val="22"/>
                <w:szCs w:val="22"/>
              </w:rPr>
              <w:t>) and increased cellular cytotoxicity (p</w:t>
            </w:r>
            <w:r w:rsidR="00CA28DC">
              <w:rPr>
                <w:bCs/>
                <w:sz w:val="22"/>
                <w:szCs w:val="22"/>
              </w:rPr>
              <w:t>=0.0</w:t>
            </w:r>
            <w:r w:rsidR="00EC7C47">
              <w:rPr>
                <w:bCs/>
                <w:sz w:val="22"/>
                <w:szCs w:val="22"/>
              </w:rPr>
              <w:t>20</w:t>
            </w:r>
            <w:r w:rsidR="002D378A" w:rsidRPr="002D378A">
              <w:rPr>
                <w:bCs/>
                <w:sz w:val="22"/>
                <w:szCs w:val="22"/>
              </w:rPr>
              <w:t xml:space="preserve">), </w:t>
            </w:r>
            <w:r w:rsidR="002D378A" w:rsidRPr="002D378A">
              <w:rPr>
                <w:bCs/>
                <w:i/>
                <w:iCs/>
                <w:sz w:val="22"/>
                <w:szCs w:val="22"/>
              </w:rPr>
              <w:t>TLR4</w:t>
            </w:r>
            <w:r w:rsidR="002D378A" w:rsidRPr="002D378A">
              <w:rPr>
                <w:bCs/>
                <w:sz w:val="22"/>
                <w:szCs w:val="22"/>
              </w:rPr>
              <w:t xml:space="preserve"> (p=0.024), and mitochondrial antioxidant </w:t>
            </w:r>
            <w:r w:rsidR="002D378A" w:rsidRPr="002D378A">
              <w:rPr>
                <w:bCs/>
                <w:i/>
                <w:iCs/>
                <w:sz w:val="22"/>
                <w:szCs w:val="22"/>
              </w:rPr>
              <w:t>SOD2</w:t>
            </w:r>
            <w:r w:rsidR="002D378A" w:rsidRPr="002D378A">
              <w:rPr>
                <w:bCs/>
                <w:sz w:val="22"/>
                <w:szCs w:val="22"/>
              </w:rPr>
              <w:t xml:space="preserve"> (p&lt;0.0001) gene expression. Gene expression of </w:t>
            </w:r>
            <w:r w:rsidR="002D378A" w:rsidRPr="002D378A">
              <w:rPr>
                <w:bCs/>
                <w:i/>
                <w:iCs/>
                <w:sz w:val="22"/>
                <w:szCs w:val="22"/>
              </w:rPr>
              <w:t>ICAM1</w:t>
            </w:r>
            <w:r w:rsidR="002D378A" w:rsidRPr="002D378A">
              <w:rPr>
                <w:bCs/>
                <w:sz w:val="22"/>
                <w:szCs w:val="22"/>
              </w:rPr>
              <w:t xml:space="preserve">, </w:t>
            </w:r>
            <w:r w:rsidR="002D378A" w:rsidRPr="002D378A">
              <w:rPr>
                <w:bCs/>
                <w:i/>
                <w:iCs/>
                <w:sz w:val="22"/>
                <w:szCs w:val="22"/>
              </w:rPr>
              <w:t>NF-κB1</w:t>
            </w:r>
            <w:r w:rsidR="002D378A" w:rsidRPr="002D378A">
              <w:rPr>
                <w:bCs/>
                <w:sz w:val="22"/>
                <w:szCs w:val="22"/>
              </w:rPr>
              <w:t xml:space="preserve"> and </w:t>
            </w:r>
            <w:r w:rsidR="002D378A" w:rsidRPr="002D378A">
              <w:rPr>
                <w:bCs/>
                <w:i/>
                <w:iCs/>
                <w:sz w:val="22"/>
                <w:szCs w:val="22"/>
              </w:rPr>
              <w:t>Nox4</w:t>
            </w:r>
            <w:r w:rsidR="002D378A" w:rsidRPr="002D378A">
              <w:rPr>
                <w:bCs/>
                <w:sz w:val="22"/>
                <w:szCs w:val="22"/>
              </w:rPr>
              <w:t xml:space="preserve"> were unchanged after LPS stimulation, and there was no effect of creatine. Instead,</w:t>
            </w:r>
            <w:r w:rsidR="00FF20B9">
              <w:rPr>
                <w:bCs/>
                <w:sz w:val="22"/>
                <w:szCs w:val="22"/>
              </w:rPr>
              <w:t xml:space="preserve"> treatment with 10mM creatine reduced cellular cytotoxicity (p=0.018), creatine transporter gene expression </w:t>
            </w:r>
            <w:r w:rsidR="00FF20B9" w:rsidRPr="002D378A">
              <w:rPr>
                <w:bCs/>
                <w:sz w:val="22"/>
                <w:szCs w:val="22"/>
              </w:rPr>
              <w:t>(</w:t>
            </w:r>
            <w:r w:rsidR="00FF20B9" w:rsidRPr="002D378A">
              <w:rPr>
                <w:bCs/>
                <w:i/>
                <w:iCs/>
                <w:sz w:val="22"/>
                <w:szCs w:val="22"/>
              </w:rPr>
              <w:t>SLC6A8</w:t>
            </w:r>
            <w:r w:rsidR="00FF20B9" w:rsidRPr="002D378A">
              <w:rPr>
                <w:bCs/>
                <w:sz w:val="22"/>
                <w:szCs w:val="22"/>
              </w:rPr>
              <w:t>, p=0.002)</w:t>
            </w:r>
            <w:r w:rsidR="00FF20B9">
              <w:rPr>
                <w:bCs/>
                <w:sz w:val="22"/>
                <w:szCs w:val="22"/>
              </w:rPr>
              <w:t xml:space="preserve">, and increased cytosolic antioxidant </w:t>
            </w:r>
            <w:r w:rsidR="00FF20B9" w:rsidRPr="002D378A">
              <w:rPr>
                <w:bCs/>
                <w:i/>
                <w:iCs/>
                <w:sz w:val="22"/>
                <w:szCs w:val="22"/>
              </w:rPr>
              <w:t>GPx1</w:t>
            </w:r>
            <w:r w:rsidR="00FF20B9">
              <w:rPr>
                <w:bCs/>
                <w:sz w:val="22"/>
                <w:szCs w:val="22"/>
              </w:rPr>
              <w:t xml:space="preserve"> </w:t>
            </w:r>
            <w:r w:rsidR="00FF20B9" w:rsidRPr="002D378A">
              <w:rPr>
                <w:bCs/>
                <w:sz w:val="22"/>
                <w:szCs w:val="22"/>
              </w:rPr>
              <w:t>expression (p=0.024)</w:t>
            </w:r>
            <w:r w:rsidR="00FF20B9">
              <w:rPr>
                <w:bCs/>
                <w:sz w:val="22"/>
                <w:szCs w:val="22"/>
              </w:rPr>
              <w:t xml:space="preserve">. </w:t>
            </w:r>
            <w:r w:rsidR="002D378A" w:rsidRPr="002D378A">
              <w:rPr>
                <w:bCs/>
                <w:sz w:val="22"/>
                <w:szCs w:val="22"/>
              </w:rPr>
              <w:t>Creatine treatment (10mM) also reduced IL-6 (p=0.001) and IL-8 (p&lt;0.001)</w:t>
            </w:r>
            <w:r w:rsidR="00D771A2">
              <w:rPr>
                <w:bCs/>
                <w:sz w:val="22"/>
                <w:szCs w:val="22"/>
              </w:rPr>
              <w:t xml:space="preserve"> </w:t>
            </w:r>
            <w:r w:rsidR="002D378A" w:rsidRPr="002D378A">
              <w:rPr>
                <w:bCs/>
                <w:sz w:val="22"/>
                <w:szCs w:val="22"/>
              </w:rPr>
              <w:t xml:space="preserve">in the supernatant </w:t>
            </w:r>
            <w:r w:rsidR="00FF20B9">
              <w:rPr>
                <w:bCs/>
                <w:sz w:val="22"/>
                <w:szCs w:val="22"/>
              </w:rPr>
              <w:t>following</w:t>
            </w:r>
            <w:r w:rsidR="002D378A" w:rsidRPr="002D378A">
              <w:rPr>
                <w:bCs/>
                <w:sz w:val="22"/>
                <w:szCs w:val="22"/>
              </w:rPr>
              <w:t xml:space="preserve"> LPS stimulation.</w:t>
            </w:r>
          </w:p>
          <w:p w14:paraId="5A6F82CD" w14:textId="77777777" w:rsidR="00F248F9" w:rsidRPr="00F248F9" w:rsidRDefault="00F248F9" w:rsidP="00127AFC">
            <w:pPr>
              <w:pStyle w:val="Default"/>
              <w:jc w:val="both"/>
            </w:pPr>
          </w:p>
          <w:p w14:paraId="69B04572" w14:textId="02F9D3F5" w:rsidR="001564A4" w:rsidRPr="002D378A" w:rsidRDefault="001564A4" w:rsidP="00127AFC">
            <w:pPr>
              <w:pStyle w:val="Pa12"/>
              <w:spacing w:line="240" w:lineRule="auto"/>
              <w:jc w:val="both"/>
              <w:rPr>
                <w:sz w:val="22"/>
                <w:szCs w:val="22"/>
              </w:rPr>
            </w:pPr>
            <w:r w:rsidRPr="002D378A">
              <w:rPr>
                <w:rStyle w:val="A4"/>
                <w:b/>
                <w:bCs/>
              </w:rPr>
              <w:t xml:space="preserve">Conclusion: </w:t>
            </w:r>
            <w:r w:rsidR="002D378A" w:rsidRPr="002D378A">
              <w:rPr>
                <w:bCs/>
                <w:sz w:val="22"/>
                <w:szCs w:val="22"/>
              </w:rPr>
              <w:t>Treatment of pediatric primary AECs with creatine demonstrated anti-inflammatory effects against LPS-induced inflammation. Further investigation is warranted to investigate anti-inflammatory effects of creatine against live bacterial infections</w:t>
            </w:r>
            <w:r w:rsidR="002D378A">
              <w:rPr>
                <w:bCs/>
                <w:sz w:val="22"/>
                <w:szCs w:val="22"/>
              </w:rPr>
              <w:t>.</w:t>
            </w:r>
          </w:p>
          <w:p w14:paraId="2A651708" w14:textId="77777777" w:rsidR="001564A4" w:rsidRPr="002D378A" w:rsidRDefault="001564A4" w:rsidP="00127AFC">
            <w:pPr>
              <w:pStyle w:val="Pa12"/>
              <w:spacing w:line="240" w:lineRule="auto"/>
              <w:rPr>
                <w:sz w:val="22"/>
                <w:szCs w:val="22"/>
              </w:rPr>
            </w:pPr>
          </w:p>
          <w:p w14:paraId="3E8B4283" w14:textId="5E277426" w:rsidR="001564A4" w:rsidRPr="002D378A" w:rsidRDefault="00127AFC" w:rsidP="00127AFC">
            <w:pPr>
              <w:pStyle w:val="Pa12"/>
              <w:spacing w:line="240" w:lineRule="auto"/>
              <w:rPr>
                <w:rStyle w:val="A4"/>
                <w:b/>
                <w:bCs/>
              </w:rPr>
            </w:pPr>
            <w:r>
              <w:rPr>
                <w:rStyle w:val="A4"/>
                <w:bCs/>
              </w:rPr>
              <w:t>G</w:t>
            </w:r>
            <w:r w:rsidR="001564A4" w:rsidRPr="002D378A">
              <w:rPr>
                <w:rStyle w:val="A4"/>
                <w:b/>
                <w:bCs/>
              </w:rPr>
              <w:t xml:space="preserve">rant Support: </w:t>
            </w:r>
          </w:p>
          <w:p w14:paraId="1662B2EE" w14:textId="77777777" w:rsidR="002D378A" w:rsidRPr="002D378A" w:rsidRDefault="002D378A" w:rsidP="00127AFC">
            <w:pPr>
              <w:pStyle w:val="Default"/>
              <w:rPr>
                <w:sz w:val="22"/>
                <w:szCs w:val="22"/>
              </w:rPr>
            </w:pPr>
            <w:r w:rsidRPr="002D378A">
              <w:rPr>
                <w:sz w:val="22"/>
                <w:szCs w:val="22"/>
              </w:rPr>
              <w:t>RTP Scholarship; GNT1196188</w:t>
            </w:r>
          </w:p>
          <w:p w14:paraId="7F8381F0" w14:textId="06CA749F" w:rsidR="001564A4" w:rsidRPr="002D378A" w:rsidRDefault="001564A4" w:rsidP="00127AFC">
            <w:pPr>
              <w:pStyle w:val="Pa12"/>
              <w:spacing w:line="240" w:lineRule="auto"/>
              <w:rPr>
                <w:sz w:val="22"/>
                <w:szCs w:val="22"/>
              </w:rPr>
            </w:pPr>
            <w:r w:rsidRPr="002D378A">
              <w:rPr>
                <w:sz w:val="22"/>
                <w:szCs w:val="22"/>
              </w:rPr>
              <w:br/>
            </w:r>
            <w:r w:rsidRPr="002D378A">
              <w:rPr>
                <w:sz w:val="22"/>
                <w:szCs w:val="22"/>
              </w:rPr>
              <w:br/>
            </w:r>
            <w:r w:rsidRPr="002D378A">
              <w:rPr>
                <w:sz w:val="22"/>
                <w:szCs w:val="22"/>
              </w:rPr>
              <w:br/>
            </w:r>
          </w:p>
          <w:p w14:paraId="731CD908" w14:textId="77777777" w:rsidR="001564A4" w:rsidRPr="002D378A" w:rsidRDefault="001564A4" w:rsidP="00127AFC">
            <w:pPr>
              <w:pStyle w:val="Default"/>
              <w:rPr>
                <w:sz w:val="22"/>
                <w:szCs w:val="22"/>
              </w:rPr>
            </w:pPr>
          </w:p>
          <w:p w14:paraId="34BF0A0F" w14:textId="77777777" w:rsidR="001564A4" w:rsidRPr="002D378A" w:rsidRDefault="001564A4" w:rsidP="00127AFC">
            <w:pPr>
              <w:pStyle w:val="Default"/>
              <w:rPr>
                <w:sz w:val="22"/>
                <w:szCs w:val="22"/>
              </w:rPr>
            </w:pPr>
          </w:p>
          <w:p w14:paraId="1FF1A88F" w14:textId="77777777" w:rsidR="001564A4" w:rsidRPr="002D378A" w:rsidRDefault="001564A4" w:rsidP="00127AFC">
            <w:pPr>
              <w:pStyle w:val="Pa12"/>
              <w:spacing w:line="240" w:lineRule="auto"/>
              <w:rPr>
                <w:rStyle w:val="A4"/>
                <w:bCs/>
              </w:rPr>
            </w:pP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  <w:r w:rsidRPr="002D378A">
              <w:rPr>
                <w:rStyle w:val="A4"/>
                <w:bCs/>
              </w:rPr>
              <w:br/>
            </w:r>
          </w:p>
          <w:p w14:paraId="14DC37E4" w14:textId="77777777" w:rsidR="001564A4" w:rsidRPr="002D378A" w:rsidRDefault="001564A4" w:rsidP="00127AFC">
            <w:pPr>
              <w:pStyle w:val="Default"/>
              <w:rPr>
                <w:rStyle w:val="A4"/>
                <w:bCs/>
              </w:rPr>
            </w:pPr>
          </w:p>
          <w:p w14:paraId="5F58D34F" w14:textId="77777777" w:rsidR="001564A4" w:rsidRPr="002D378A" w:rsidRDefault="001564A4" w:rsidP="00127AFC">
            <w:pPr>
              <w:pStyle w:val="Default"/>
              <w:rPr>
                <w:sz w:val="22"/>
                <w:szCs w:val="22"/>
                <w:lang w:val="en-US" w:eastAsia="en-GB"/>
              </w:rPr>
            </w:pP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  <w:r w:rsidRPr="002D378A">
              <w:rPr>
                <w:sz w:val="22"/>
                <w:szCs w:val="22"/>
                <w:lang w:val="en-US" w:eastAsia="en-GB"/>
              </w:rPr>
              <w:br/>
            </w:r>
          </w:p>
        </w:tc>
      </w:tr>
    </w:tbl>
    <w:p w14:paraId="7C36A9DC" w14:textId="55CC7D4E" w:rsidR="00E0700F" w:rsidRDefault="00E0700F" w:rsidP="00127AFC">
      <w:pPr>
        <w:rPr>
          <w:rFonts w:ascii="Arial" w:hAnsi="Arial" w:cs="Arial"/>
          <w:sz w:val="22"/>
          <w:szCs w:val="22"/>
        </w:rPr>
      </w:pPr>
    </w:p>
    <w:p w14:paraId="7DC7D725" w14:textId="77777777" w:rsidR="00FF20B9" w:rsidRDefault="00FF20B9" w:rsidP="00127AFC">
      <w:pPr>
        <w:rPr>
          <w:rFonts w:ascii="Arial" w:hAnsi="Arial" w:cs="Arial"/>
          <w:sz w:val="22"/>
          <w:szCs w:val="22"/>
        </w:rPr>
      </w:pPr>
    </w:p>
    <w:p w14:paraId="7BFC58E7" w14:textId="1AEB83EA" w:rsidR="00FF20B9" w:rsidRDefault="00FF20B9" w:rsidP="00127AFC">
      <w:pPr>
        <w:rPr>
          <w:rFonts w:ascii="Arial" w:hAnsi="Arial" w:cs="Arial"/>
          <w:sz w:val="22"/>
          <w:szCs w:val="22"/>
        </w:rPr>
      </w:pPr>
    </w:p>
    <w:p w14:paraId="5830745C" w14:textId="3A301A6C" w:rsidR="00FF20B9" w:rsidRPr="002D378A" w:rsidRDefault="00FF20B9" w:rsidP="00127AFC">
      <w:pPr>
        <w:rPr>
          <w:rFonts w:ascii="Arial" w:hAnsi="Arial" w:cs="Arial"/>
          <w:sz w:val="22"/>
          <w:szCs w:val="22"/>
        </w:rPr>
      </w:pPr>
    </w:p>
    <w:sectPr w:rsidR="00FF20B9" w:rsidRPr="002D37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664D3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6106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IwMzM0NzE2MDazsLBU0lEKTi0uzszPAykwrgUAtL3BRCwAAAA="/>
  </w:docVars>
  <w:rsids>
    <w:rsidRoot w:val="001564A4"/>
    <w:rsid w:val="00127AFC"/>
    <w:rsid w:val="001564A4"/>
    <w:rsid w:val="002D378A"/>
    <w:rsid w:val="0051574E"/>
    <w:rsid w:val="008803FA"/>
    <w:rsid w:val="008E4283"/>
    <w:rsid w:val="00AC68B8"/>
    <w:rsid w:val="00B12E32"/>
    <w:rsid w:val="00BC6B2E"/>
    <w:rsid w:val="00CA28DC"/>
    <w:rsid w:val="00D771A2"/>
    <w:rsid w:val="00E0700F"/>
    <w:rsid w:val="00EC7C47"/>
    <w:rsid w:val="00F248F9"/>
    <w:rsid w:val="00F91225"/>
    <w:rsid w:val="00FF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03087"/>
  <w15:chartTrackingRefBased/>
  <w15:docId w15:val="{85661192-7B12-4AE4-8F86-3F11BE6AC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tlas Grotesk Regular" w:eastAsiaTheme="minorHAnsi" w:hAnsi="Atlas Grotesk Regular" w:cstheme="minorBidi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4A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564A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NZ"/>
    </w:rPr>
  </w:style>
  <w:style w:type="character" w:customStyle="1" w:styleId="A4">
    <w:name w:val="A4"/>
    <w:uiPriority w:val="99"/>
    <w:rsid w:val="001564A4"/>
    <w:rPr>
      <w:color w:val="000000"/>
      <w:sz w:val="22"/>
      <w:szCs w:val="22"/>
    </w:rPr>
  </w:style>
  <w:style w:type="paragraph" w:customStyle="1" w:styleId="Pa12">
    <w:name w:val="Pa12"/>
    <w:basedOn w:val="Default"/>
    <w:next w:val="Default"/>
    <w:uiPriority w:val="99"/>
    <w:rsid w:val="001564A4"/>
    <w:pPr>
      <w:spacing w:line="241" w:lineRule="atLeast"/>
    </w:pPr>
    <w:rPr>
      <w:color w:val="auto"/>
    </w:rPr>
  </w:style>
  <w:style w:type="paragraph" w:styleId="ListBullet">
    <w:name w:val="List Bullet"/>
    <w:basedOn w:val="Normal"/>
    <w:uiPriority w:val="99"/>
    <w:unhideWhenUsed/>
    <w:rsid w:val="002D378A"/>
    <w:pPr>
      <w:numPr>
        <w:numId w:val="1"/>
      </w:numPr>
      <w:spacing w:after="200" w:line="276" w:lineRule="auto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6" ma:contentTypeDescription="Create a new document." ma:contentTypeScope="" ma:versionID="e2b445427de7fdc952c105e35286659b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97f37c8f8b798b54af2a8e7107b543b3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E4E03BB-3B94-43A7-A10E-EF4C0ABC6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C7D0F7-9D36-49A6-B504-6A025E2D92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961898-40DD-42B0-A9FA-52244C88F073}">
  <ds:schemaRefs>
    <ds:schemaRef ds:uri="http://schemas.microsoft.com/office/2006/documentManagement/types"/>
    <ds:schemaRef ds:uri="9c8a2b7b-0bee-4c48-b0a6-23db8982d3bc"/>
    <ds:schemaRef ds:uri="http://schemas.microsoft.com/office/2006/metadata/properties"/>
    <ds:schemaRef ds:uri="http://schemas.microsoft.com/office/infopath/2007/PartnerControls"/>
    <ds:schemaRef ds:uri="6911e96c-4cc4-42d5-8e43-f93924cf6a05"/>
    <ds:schemaRef ds:uri="http://purl.org/dc/elements/1.1/"/>
    <ds:schemaRef ds:uri="http://purl.org/dc/dcmitype/"/>
    <ds:schemaRef ds:uri="http://purl.org/dc/terms/"/>
    <ds:schemaRef ds:uri="http://schemas.openxmlformats.org/package/2006/metadata/core-properties"/>
    <ds:schemaRef ds:uri="http://www.w3.org/XML/1998/namespace"/>
    <ds:schemaRef ds:uri="cab52c9b-ab33-4221-8af9-54f8f2b86a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Lele Talagi</dc:creator>
  <cp:keywords/>
  <dc:description/>
  <cp:lastModifiedBy>Jane Choi</cp:lastModifiedBy>
  <cp:revision>3</cp:revision>
  <dcterms:created xsi:type="dcterms:W3CDTF">2023-10-19T03:15:00Z</dcterms:created>
  <dcterms:modified xsi:type="dcterms:W3CDTF">2023-10-19T04:53:00Z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