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7"/>
      </w:tblGrid>
      <w:tr w:rsidR="001564A4" w:rsidRPr="0050053A" w14:paraId="5C38377B" w14:textId="77777777" w:rsidTr="002E12E6">
        <w:trPr>
          <w:trHeight w:val="710"/>
          <w:jc w:val="center"/>
        </w:trPr>
        <w:tc>
          <w:tcPr>
            <w:tcW w:w="7947" w:type="dxa"/>
            <w:shd w:val="clear" w:color="auto" w:fill="auto"/>
          </w:tcPr>
          <w:p w14:paraId="5C44F357" w14:textId="4C5B45EF" w:rsidR="001564A4" w:rsidRPr="0050053A" w:rsidRDefault="00D7653A" w:rsidP="000A28E2">
            <w:pPr>
              <w:spacing w:before="120" w:after="120"/>
              <w:rPr>
                <w:rFonts w:ascii="Arial" w:hAnsi="Arial" w:cs="Arial"/>
                <w:b/>
                <w:sz w:val="22"/>
                <w:szCs w:val="22"/>
                <w:lang w:val="en-US" w:eastAsia="zh-CN"/>
              </w:rPr>
            </w:pPr>
            <w:r w:rsidRPr="00D7653A">
              <w:rPr>
                <w:rFonts w:ascii="Arial" w:hAnsi="Arial" w:cs="Arial"/>
                <w:b/>
                <w:sz w:val="22"/>
                <w:szCs w:val="22"/>
                <w:lang w:val="en-US" w:eastAsia="en-GB"/>
              </w:rPr>
              <w:t>Intergovernmental Panel on Climate Change (IPCC) Tier 1 forest biomass estimates from Earth Observation</w:t>
            </w:r>
          </w:p>
        </w:tc>
      </w:tr>
      <w:tr w:rsidR="001564A4" w:rsidRPr="0050053A" w14:paraId="6DAF615A" w14:textId="77777777" w:rsidTr="002D5E9E">
        <w:trPr>
          <w:trHeight w:hRule="exact" w:val="11380"/>
          <w:jc w:val="center"/>
        </w:trPr>
        <w:tc>
          <w:tcPr>
            <w:tcW w:w="7947" w:type="dxa"/>
            <w:shd w:val="clear" w:color="auto" w:fill="auto"/>
          </w:tcPr>
          <w:p w14:paraId="639C0005" w14:textId="77777777" w:rsidR="001F0AC4" w:rsidRDefault="001F0AC4" w:rsidP="000A28E2">
            <w:pPr>
              <w:pStyle w:val="Pa12"/>
              <w:rPr>
                <w:rStyle w:val="A4"/>
                <w:b/>
                <w:bCs/>
              </w:rPr>
            </w:pPr>
          </w:p>
          <w:p w14:paraId="739E7937" w14:textId="170047CC" w:rsidR="001564A4" w:rsidRPr="00D7653A" w:rsidRDefault="001564A4" w:rsidP="000A28E2">
            <w:pPr>
              <w:pStyle w:val="Pa12"/>
              <w:rPr>
                <w:rStyle w:val="A4"/>
              </w:rPr>
            </w:pPr>
            <w:r>
              <w:rPr>
                <w:rStyle w:val="A4"/>
                <w:b/>
                <w:bCs/>
              </w:rPr>
              <w:t>Introduction/</w:t>
            </w:r>
            <w:r w:rsidRPr="0050053A">
              <w:rPr>
                <w:rStyle w:val="A4"/>
                <w:b/>
                <w:bCs/>
              </w:rPr>
              <w:t xml:space="preserve">Aim: </w:t>
            </w:r>
            <w:r w:rsidR="00D7653A" w:rsidRPr="00D7653A">
              <w:rPr>
                <w:rStyle w:val="A4"/>
                <w:bCs/>
              </w:rPr>
              <w:t>Aboveground dry woody Biomass Density (AGBD) maps produced with Earth Observation (EO) data have a large potential to periodically provide a transparent, consistent and replicable picture of the state of the world’s forests.</w:t>
            </w:r>
            <w:r w:rsidR="00D7653A">
              <w:rPr>
                <w:rStyle w:val="A4"/>
                <w:bCs/>
              </w:rPr>
              <w:t xml:space="preserve"> They can comply with the standards mandated by the UNFCCC, but are yet to formally adopted in international policy guidance. Our research provides the first compilation of </w:t>
            </w:r>
            <w:r w:rsidR="00D7653A" w:rsidRPr="00D7653A">
              <w:rPr>
                <w:rStyle w:val="A4"/>
                <w:bCs/>
              </w:rPr>
              <w:t>AGBD estimates in the format of Intergovernmental Panel on Climate Change (IPCC) Tier 1 values for natural forests</w:t>
            </w:r>
            <w:r w:rsidR="002436DA" w:rsidRPr="002436DA">
              <w:rPr>
                <w:rStyle w:val="A4"/>
                <w:bCs/>
                <w:vertAlign w:val="superscript"/>
              </w:rPr>
              <w:t>1</w:t>
            </w:r>
            <w:r w:rsidR="00D7653A" w:rsidRPr="00D7653A">
              <w:rPr>
                <w:rStyle w:val="A4"/>
                <w:bCs/>
              </w:rPr>
              <w:t xml:space="preserve">, sourced from </w:t>
            </w:r>
            <w:r w:rsidR="00D7653A">
              <w:rPr>
                <w:rStyle w:val="A4"/>
                <w:bCs/>
              </w:rPr>
              <w:t>NASA’s GEDI and IceSAT-2 missions</w:t>
            </w:r>
            <w:r w:rsidR="00D7653A" w:rsidRPr="00D7653A">
              <w:rPr>
                <w:rStyle w:val="A4"/>
                <w:bCs/>
              </w:rPr>
              <w:t>, and ESA's</w:t>
            </w:r>
            <w:r w:rsidR="00D7653A">
              <w:rPr>
                <w:rStyle w:val="A4"/>
                <w:bCs/>
              </w:rPr>
              <w:t xml:space="preserve"> </w:t>
            </w:r>
            <w:r w:rsidR="00D7653A" w:rsidRPr="00D7653A">
              <w:rPr>
                <w:rStyle w:val="A4"/>
                <w:bCs/>
              </w:rPr>
              <w:t>Climate Change Initiative (CCI).</w:t>
            </w:r>
            <w:r w:rsidR="009845F6">
              <w:rPr>
                <w:rStyle w:val="A4"/>
                <w:bCs/>
              </w:rPr>
              <w:t xml:space="preserve"> </w:t>
            </w:r>
            <w:r w:rsidR="009845F6" w:rsidRPr="009845F6">
              <w:rPr>
                <w:rStyle w:val="A4"/>
                <w:bCs/>
              </w:rPr>
              <w:t>It also provides the underlying classification of global forests by ecozones, continents and status (primary, young (</w:t>
            </w:r>
            <w:r w:rsidR="009845F6">
              <w:rPr>
                <w:rStyle w:val="A4"/>
                <w:bCs/>
              </w:rPr>
              <w:t>≤</w:t>
            </w:r>
            <w:r w:rsidR="009845F6" w:rsidRPr="009845F6">
              <w:rPr>
                <w:rStyle w:val="A4"/>
                <w:bCs/>
              </w:rPr>
              <w:t xml:space="preserve">20 years) and old secondary </w:t>
            </w:r>
            <w:r w:rsidR="009845F6">
              <w:rPr>
                <w:rStyle w:val="A4"/>
                <w:bCs/>
              </w:rPr>
              <w:t>(&gt;</w:t>
            </w:r>
            <w:r w:rsidR="009845F6" w:rsidRPr="009845F6">
              <w:rPr>
                <w:rStyle w:val="A4"/>
                <w:bCs/>
              </w:rPr>
              <w:t>20 years))</w:t>
            </w:r>
            <w:r w:rsidR="009845F6">
              <w:rPr>
                <w:rStyle w:val="A4"/>
                <w:bCs/>
              </w:rPr>
              <w:t xml:space="preserve">. </w:t>
            </w:r>
          </w:p>
          <w:p w14:paraId="1B39336E" w14:textId="776010A9" w:rsidR="001564A4" w:rsidRPr="0050053A" w:rsidRDefault="001564A4" w:rsidP="000A28E2">
            <w:pPr>
              <w:pStyle w:val="Pa12"/>
              <w:rPr>
                <w:rStyle w:val="A4"/>
                <w:b/>
                <w:bCs/>
              </w:rPr>
            </w:pPr>
            <w:r>
              <w:rPr>
                <w:sz w:val="22"/>
                <w:szCs w:val="22"/>
              </w:rPr>
              <w:br/>
            </w:r>
            <w:r w:rsidRPr="0050053A">
              <w:rPr>
                <w:rStyle w:val="A4"/>
                <w:b/>
                <w:bCs/>
              </w:rPr>
              <w:t>Method</w:t>
            </w:r>
            <w:r>
              <w:rPr>
                <w:rStyle w:val="A4"/>
                <w:b/>
                <w:bCs/>
              </w:rPr>
              <w:t>s</w:t>
            </w:r>
            <w:r w:rsidRPr="0050053A">
              <w:rPr>
                <w:rStyle w:val="A4"/>
                <w:b/>
                <w:bCs/>
              </w:rPr>
              <w:t xml:space="preserve">: </w:t>
            </w:r>
            <w:r w:rsidR="009845F6">
              <w:rPr>
                <w:rStyle w:val="A4"/>
                <w:bCs/>
              </w:rPr>
              <w:t xml:space="preserve">Our approach is based on a Boolean compilation </w:t>
            </w:r>
            <w:r w:rsidR="00CF0567" w:rsidRPr="009845F6">
              <w:rPr>
                <w:rStyle w:val="A4"/>
                <w:bCs/>
              </w:rPr>
              <w:t>of various EO-derived datasets</w:t>
            </w:r>
            <w:r w:rsidR="00CF0567">
              <w:rPr>
                <w:rStyle w:val="A4"/>
                <w:bCs/>
              </w:rPr>
              <w:t xml:space="preserve">, which </w:t>
            </w:r>
            <w:r w:rsidR="009845F6" w:rsidRPr="009845F6">
              <w:rPr>
                <w:rStyle w:val="A4"/>
                <w:bCs/>
              </w:rPr>
              <w:t>leverage</w:t>
            </w:r>
            <w:r w:rsidR="009845F6">
              <w:rPr>
                <w:rStyle w:val="A4"/>
                <w:bCs/>
              </w:rPr>
              <w:t>s</w:t>
            </w:r>
            <w:r w:rsidR="009845F6" w:rsidRPr="009845F6">
              <w:rPr>
                <w:rStyle w:val="A4"/>
                <w:bCs/>
              </w:rPr>
              <w:t xml:space="preserve"> </w:t>
            </w:r>
            <w:r w:rsidR="00CF0567">
              <w:rPr>
                <w:rStyle w:val="A4"/>
                <w:bCs/>
              </w:rPr>
              <w:t xml:space="preserve">the </w:t>
            </w:r>
            <w:r w:rsidR="009845F6" w:rsidRPr="009845F6">
              <w:rPr>
                <w:rStyle w:val="A4"/>
                <w:bCs/>
              </w:rPr>
              <w:t xml:space="preserve">strengths of </w:t>
            </w:r>
            <w:r w:rsidR="002436DA">
              <w:rPr>
                <w:rStyle w:val="A4"/>
                <w:bCs/>
              </w:rPr>
              <w:t>layers of</w:t>
            </w:r>
            <w:r w:rsidR="009845F6" w:rsidRPr="009845F6">
              <w:rPr>
                <w:rStyle w:val="A4"/>
                <w:bCs/>
              </w:rPr>
              <w:t xml:space="preserve"> satellite-derived forest tree cover, height, age and land use classification</w:t>
            </w:r>
            <w:r w:rsidR="002436DA">
              <w:rPr>
                <w:rStyle w:val="A4"/>
                <w:bCs/>
              </w:rPr>
              <w:t>s</w:t>
            </w:r>
            <w:r w:rsidR="00612599">
              <w:rPr>
                <w:rStyle w:val="A4"/>
                <w:bCs/>
              </w:rPr>
              <w:t xml:space="preserve">. </w:t>
            </w:r>
            <w:r w:rsidR="008D42B9">
              <w:rPr>
                <w:rStyle w:val="A4"/>
                <w:bCs/>
              </w:rPr>
              <w:t xml:space="preserve">In summary, </w:t>
            </w:r>
            <w:r w:rsidR="008D42B9" w:rsidRPr="008D42B9">
              <w:rPr>
                <w:rStyle w:val="A4"/>
                <w:bCs/>
              </w:rPr>
              <w:t xml:space="preserve">first, layers that identify a potential forest status/condition class (e.g. primary forests) are merged, and second, layers that identify sources of disagreement (e.g. presence of plantations or deforestation detected in the delineated primary forests) are used to remove areas of potential commission errors. </w:t>
            </w:r>
            <w:r w:rsidR="008D42B9">
              <w:rPr>
                <w:rStyle w:val="A4"/>
                <w:bCs/>
              </w:rPr>
              <w:t>T</w:t>
            </w:r>
            <w:r w:rsidR="00612599" w:rsidRPr="00612599">
              <w:rPr>
                <w:rStyle w:val="A4"/>
                <w:bCs/>
              </w:rPr>
              <w:t>he classification is run on the collaborative open-science could-computing system, the ESA-NASA Multi-mission analysis and algorithm platform (</w:t>
            </w:r>
            <w:hyperlink r:id="rId7" w:history="1">
              <w:r w:rsidR="008D42B9" w:rsidRPr="00455F2A">
                <w:rPr>
                  <w:rStyle w:val="Hyperlink"/>
                  <w:bCs/>
                  <w:sz w:val="22"/>
                  <w:szCs w:val="22"/>
                </w:rPr>
                <w:t>https://scimaap.net/</w:t>
              </w:r>
            </w:hyperlink>
            <w:r w:rsidR="008D42B9">
              <w:rPr>
                <w:rStyle w:val="A4"/>
                <w:bCs/>
              </w:rPr>
              <w:t>)</w:t>
            </w:r>
            <w:r w:rsidR="00612599" w:rsidRPr="00612599">
              <w:rPr>
                <w:rStyle w:val="A4"/>
                <w:bCs/>
              </w:rPr>
              <w:t>. MAAP has capabilities to host relevant data, processing algorithms, and computing capabilities in a common cloud environment, linked to public GitLab/GitHub repositories</w:t>
            </w:r>
            <w:r w:rsidR="008D42B9">
              <w:rPr>
                <w:rStyle w:val="A4"/>
                <w:bCs/>
              </w:rPr>
              <w:t>, ensuring the transparency of our methods. Upon classification, mean estimates of AGBD</w:t>
            </w:r>
            <w:r w:rsidR="002E12E6">
              <w:rPr>
                <w:rStyle w:val="A4"/>
                <w:bCs/>
              </w:rPr>
              <w:t xml:space="preserve"> (and their associated errors) </w:t>
            </w:r>
            <w:r w:rsidR="008D42B9">
              <w:rPr>
                <w:rStyle w:val="A4"/>
                <w:bCs/>
              </w:rPr>
              <w:t xml:space="preserve">are sourced from the GEDI’s </w:t>
            </w:r>
            <w:r w:rsidR="008D42B9" w:rsidRPr="008D42B9">
              <w:rPr>
                <w:rStyle w:val="A4"/>
                <w:bCs/>
              </w:rPr>
              <w:t>hybrid inference estimators</w:t>
            </w:r>
            <w:r w:rsidR="002436DA" w:rsidRPr="002436DA">
              <w:rPr>
                <w:rStyle w:val="A4"/>
                <w:bCs/>
                <w:vertAlign w:val="superscript"/>
              </w:rPr>
              <w:t>2</w:t>
            </w:r>
            <w:r w:rsidR="008D42B9">
              <w:rPr>
                <w:rStyle w:val="A4"/>
                <w:bCs/>
              </w:rPr>
              <w:t xml:space="preserve">, </w:t>
            </w:r>
            <w:r w:rsidR="008D42B9" w:rsidRPr="008D42B9">
              <w:rPr>
                <w:rStyle w:val="A4"/>
                <w:bCs/>
              </w:rPr>
              <w:t>High northern latitude estimates</w:t>
            </w:r>
            <w:r w:rsidR="008D42B9">
              <w:rPr>
                <w:rStyle w:val="A4"/>
                <w:bCs/>
              </w:rPr>
              <w:t xml:space="preserve"> from IceSAT-2</w:t>
            </w:r>
            <w:r w:rsidR="002436DA" w:rsidRPr="002436DA">
              <w:rPr>
                <w:rStyle w:val="A4"/>
                <w:bCs/>
                <w:vertAlign w:val="superscript"/>
              </w:rPr>
              <w:t>3</w:t>
            </w:r>
            <w:r w:rsidR="008D42B9">
              <w:rPr>
                <w:rStyle w:val="A4"/>
                <w:bCs/>
              </w:rPr>
              <w:t xml:space="preserve"> and the ESA CCI Biomass map of 2020</w:t>
            </w:r>
            <w:r w:rsidR="002436DA" w:rsidRPr="002436DA">
              <w:rPr>
                <w:rStyle w:val="A4"/>
                <w:bCs/>
                <w:vertAlign w:val="superscript"/>
              </w:rPr>
              <w:t>4</w:t>
            </w:r>
            <w:r w:rsidR="008D42B9">
              <w:rPr>
                <w:rStyle w:val="A4"/>
                <w:bCs/>
              </w:rPr>
              <w:t xml:space="preserve">.  </w:t>
            </w:r>
            <w:r w:rsidR="009845F6">
              <w:rPr>
                <w:rStyle w:val="A4"/>
                <w:bCs/>
              </w:rPr>
              <w:t xml:space="preserve"> </w:t>
            </w:r>
          </w:p>
          <w:p w14:paraId="5029BAE6" w14:textId="77777777" w:rsidR="001564A4" w:rsidRPr="0050053A" w:rsidRDefault="001564A4" w:rsidP="000A28E2">
            <w:pPr>
              <w:pStyle w:val="Pa12"/>
              <w:rPr>
                <w:rStyle w:val="A4"/>
                <w:bCs/>
              </w:rPr>
            </w:pPr>
          </w:p>
          <w:p w14:paraId="6BF3F094" w14:textId="6CC646BC" w:rsidR="001564A4" w:rsidRPr="002436DA" w:rsidRDefault="001564A4" w:rsidP="000A28E2">
            <w:pPr>
              <w:pStyle w:val="Pa12"/>
              <w:rPr>
                <w:rStyle w:val="A4"/>
                <w:bCs/>
              </w:rPr>
            </w:pPr>
            <w:r w:rsidRPr="0050053A">
              <w:rPr>
                <w:rStyle w:val="A4"/>
                <w:b/>
                <w:bCs/>
              </w:rPr>
              <w:t xml:space="preserve">Results: </w:t>
            </w:r>
            <w:r w:rsidR="002436DA" w:rsidRPr="002436DA">
              <w:rPr>
                <w:rStyle w:val="A4"/>
                <w:bCs/>
              </w:rPr>
              <w:t xml:space="preserve">Across the world's natural forests (excluding planted forests), approximately 1678 </w:t>
            </w:r>
            <w:proofErr w:type="spellStart"/>
            <w:r w:rsidR="002436DA" w:rsidRPr="002436DA">
              <w:rPr>
                <w:rStyle w:val="A4"/>
                <w:bCs/>
              </w:rPr>
              <w:t>Mha</w:t>
            </w:r>
            <w:proofErr w:type="spellEnd"/>
            <w:r w:rsidR="002436DA" w:rsidRPr="002436DA">
              <w:rPr>
                <w:rStyle w:val="A4"/>
                <w:bCs/>
              </w:rPr>
              <w:t xml:space="preserve"> of primary forests, 1265 </w:t>
            </w:r>
            <w:proofErr w:type="spellStart"/>
            <w:r w:rsidR="002436DA" w:rsidRPr="002436DA">
              <w:rPr>
                <w:rStyle w:val="A4"/>
                <w:bCs/>
              </w:rPr>
              <w:t>Mha</w:t>
            </w:r>
            <w:proofErr w:type="spellEnd"/>
            <w:r w:rsidR="002436DA" w:rsidRPr="002436DA">
              <w:rPr>
                <w:rStyle w:val="A4"/>
                <w:bCs/>
              </w:rPr>
              <w:t xml:space="preserve"> of old secondary forests and 316 </w:t>
            </w:r>
            <w:proofErr w:type="spellStart"/>
            <w:r w:rsidR="002436DA" w:rsidRPr="002436DA">
              <w:rPr>
                <w:rStyle w:val="A4"/>
                <w:bCs/>
              </w:rPr>
              <w:t>Mha</w:t>
            </w:r>
            <w:proofErr w:type="spellEnd"/>
            <w:r w:rsidR="002436DA" w:rsidRPr="002436DA">
              <w:rPr>
                <w:rStyle w:val="A4"/>
                <w:bCs/>
              </w:rPr>
              <w:t xml:space="preserve"> of young secondary forests were identified</w:t>
            </w:r>
            <w:r w:rsidR="002436DA">
              <w:rPr>
                <w:rStyle w:val="A4"/>
                <w:bCs/>
              </w:rPr>
              <w:t>. T</w:t>
            </w:r>
            <w:r w:rsidR="002436DA" w:rsidRPr="002436DA">
              <w:rPr>
                <w:rStyle w:val="A4"/>
                <w:bCs/>
              </w:rPr>
              <w:t>he</w:t>
            </w:r>
            <w:r w:rsidR="002436DA">
              <w:rPr>
                <w:rStyle w:val="A4"/>
                <w:bCs/>
              </w:rPr>
              <w:t xml:space="preserve"> trends in EO-derived</w:t>
            </w:r>
            <w:r w:rsidR="002436DA" w:rsidRPr="002436DA">
              <w:rPr>
                <w:rStyle w:val="A4"/>
                <w:bCs/>
              </w:rPr>
              <w:t xml:space="preserve"> AGBD </w:t>
            </w:r>
            <w:r w:rsidR="002436DA">
              <w:rPr>
                <w:rStyle w:val="A4"/>
                <w:bCs/>
              </w:rPr>
              <w:t xml:space="preserve">estimates </w:t>
            </w:r>
            <w:r w:rsidR="002436DA" w:rsidRPr="002436DA">
              <w:rPr>
                <w:rStyle w:val="A4"/>
                <w:bCs/>
              </w:rPr>
              <w:t xml:space="preserve">across </w:t>
            </w:r>
            <w:r w:rsidR="002436DA">
              <w:rPr>
                <w:rStyle w:val="A4"/>
                <w:bCs/>
              </w:rPr>
              <w:t>these</w:t>
            </w:r>
            <w:r w:rsidR="002436DA" w:rsidRPr="002436DA">
              <w:rPr>
                <w:rStyle w:val="A4"/>
                <w:bCs/>
              </w:rPr>
              <w:t xml:space="preserve"> classes are captured well by the EO-datasets; like the IPCC values, the GEDI/ICESat-2 dataset estimates that primary Asian tropical rainforests and mountain systems harbour some of the highest AGBD globally, while the CCI dataset estimates that primary African rainforests harbour the highest AGBD.</w:t>
            </w:r>
            <w:r w:rsidR="002436DA">
              <w:rPr>
                <w:rStyle w:val="A4"/>
                <w:bCs/>
              </w:rPr>
              <w:t xml:space="preserve"> M</w:t>
            </w:r>
            <w:r w:rsidR="002436DA" w:rsidRPr="002436DA">
              <w:rPr>
                <w:rStyle w:val="A4"/>
                <w:bCs/>
              </w:rPr>
              <w:t>odel results show that there isn't sufficient evidence to indicate that GEDI/ICESat-2 estimates exhibit significant systematic differences to the IPCC values over all forest classes globally</w:t>
            </w:r>
            <w:r w:rsidR="002436DA">
              <w:rPr>
                <w:rStyle w:val="A4"/>
                <w:bCs/>
              </w:rPr>
              <w:t xml:space="preserve">, although systematic differences are observed for the CCI estimates. </w:t>
            </w:r>
          </w:p>
          <w:p w14:paraId="656EBFE6" w14:textId="0E182B12" w:rsidR="002436DA" w:rsidRDefault="001564A4" w:rsidP="000A28E2">
            <w:pPr>
              <w:pStyle w:val="Pa12"/>
              <w:rPr>
                <w:rStyle w:val="A4"/>
                <w:bCs/>
              </w:rPr>
            </w:pPr>
            <w:r>
              <w:rPr>
                <w:sz w:val="22"/>
                <w:szCs w:val="22"/>
              </w:rPr>
              <w:br/>
            </w:r>
            <w:r w:rsidRPr="0050053A">
              <w:rPr>
                <w:rStyle w:val="A4"/>
                <w:b/>
                <w:bCs/>
              </w:rPr>
              <w:t xml:space="preserve">Conclusion: </w:t>
            </w:r>
            <w:r w:rsidR="002436DA" w:rsidRPr="002436DA">
              <w:rPr>
                <w:rStyle w:val="A4"/>
                <w:bCs/>
              </w:rPr>
              <w:t>The results of this article are a pioneering international effort from CEOS, presenting AGBD maps in a format practical for policy and adoptable, upon review, in the IPCC Emissions Factors Database</w:t>
            </w:r>
            <w:r w:rsidR="002436DA">
              <w:rPr>
                <w:rStyle w:val="A4"/>
                <w:bCs/>
              </w:rPr>
              <w:t xml:space="preserve">. </w:t>
            </w:r>
          </w:p>
          <w:p w14:paraId="1FF1A88F" w14:textId="59063985"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58487EDE" w14:textId="37DC629C" w:rsidR="00A42E09" w:rsidRDefault="00A42E09" w:rsidP="00A42E09">
      <w:pPr>
        <w:pStyle w:val="Pa12"/>
        <w:rPr>
          <w:sz w:val="20"/>
          <w:szCs w:val="22"/>
        </w:rPr>
      </w:pPr>
    </w:p>
    <w:p w14:paraId="2B03440F" w14:textId="77777777" w:rsidR="00A42E09" w:rsidRDefault="00A42E09" w:rsidP="00A42E09">
      <w:pPr>
        <w:pStyle w:val="Pa12"/>
        <w:rPr>
          <w:sz w:val="20"/>
          <w:szCs w:val="22"/>
        </w:rPr>
      </w:pPr>
    </w:p>
    <w:p w14:paraId="1E5AC115" w14:textId="7037E2C3" w:rsidR="00A42E09" w:rsidRPr="00A42E09" w:rsidRDefault="002D5E9E" w:rsidP="00A42E09">
      <w:pPr>
        <w:pStyle w:val="Pa12"/>
        <w:rPr>
          <w:sz w:val="20"/>
          <w:szCs w:val="22"/>
        </w:rPr>
      </w:pPr>
      <w:r w:rsidRPr="002D5E9E">
        <w:rPr>
          <w:sz w:val="20"/>
          <w:szCs w:val="22"/>
        </w:rPr>
        <w:t>REFERENCES</w:t>
      </w:r>
    </w:p>
    <w:p w14:paraId="05AA9059" w14:textId="77777777" w:rsidR="00A42E09" w:rsidRPr="002E12E6" w:rsidRDefault="00A42E09" w:rsidP="002E12E6">
      <w:pPr>
        <w:pStyle w:val="Default"/>
      </w:pPr>
    </w:p>
    <w:p w14:paraId="638DF5BD" w14:textId="769E74DD" w:rsidR="002D5E9E" w:rsidRPr="002D5E9E" w:rsidRDefault="002D5E9E" w:rsidP="002D5E9E">
      <w:pPr>
        <w:autoSpaceDE w:val="0"/>
        <w:autoSpaceDN w:val="0"/>
        <w:adjustRightInd w:val="0"/>
        <w:rPr>
          <w:rFonts w:ascii="NimbusRomNo9L-Regu" w:eastAsia="NimbusRomNo9L-Regu" w:hAnsi="Atlas Grotesk Regular" w:cs="NimbusRomNo9L-Regu"/>
          <w:color w:val="0000FF"/>
          <w:sz w:val="18"/>
          <w:szCs w:val="14"/>
          <w:lang w:val="en-US"/>
        </w:rPr>
      </w:pPr>
      <w:r w:rsidRPr="002D5E9E">
        <w:rPr>
          <w:sz w:val="18"/>
          <w:szCs w:val="14"/>
        </w:rPr>
        <w:t xml:space="preserve">1. </w:t>
      </w:r>
      <w:r w:rsidRPr="002D5E9E">
        <w:rPr>
          <w:rFonts w:ascii="NimbusRomNo9L-Regu" w:eastAsia="NimbusRomNo9L-Regu" w:hAnsi="Atlas Grotesk Regular" w:cs="NimbusRomNo9L-Regu"/>
          <w:color w:val="000000"/>
          <w:sz w:val="18"/>
          <w:szCs w:val="14"/>
          <w:lang w:val="en-US"/>
        </w:rPr>
        <w:t>IPCC. 2019 Refinement to the 2006 IPCC Guidelines for National Greenhouse Gas Inventories.</w:t>
      </w:r>
      <w:r w:rsidRPr="002D5E9E">
        <w:rPr>
          <w:rFonts w:ascii="NimbusSanL-Regu" w:eastAsia="NimbusSanL-Regu" w:hAnsi="Atlas Grotesk Regular" w:cs="NimbusSanL-Regu"/>
          <w:color w:val="000000"/>
          <w:sz w:val="18"/>
          <w:szCs w:val="14"/>
          <w:lang w:val="en-US"/>
        </w:rPr>
        <w:t xml:space="preserve">  </w:t>
      </w:r>
      <w:r w:rsidRPr="002D5E9E">
        <w:rPr>
          <w:rFonts w:ascii="NimbusRomNo9L-Regu" w:eastAsia="NimbusRomNo9L-Regu" w:hAnsi="Atlas Grotesk Regular" w:cs="NimbusRomNo9L-Regu"/>
          <w:color w:val="000000"/>
          <w:sz w:val="18"/>
          <w:szCs w:val="14"/>
          <w:lang w:val="en-US"/>
        </w:rPr>
        <w:t xml:space="preserve">Chapter 4: Forest Land. </w:t>
      </w:r>
      <w:r w:rsidR="002E12E6" w:rsidRPr="002E12E6">
        <w:rPr>
          <w:rFonts w:ascii="NimbusRomNo9L-Regu" w:eastAsia="NimbusRomNo9L-Regu" w:hAnsi="Atlas Grotesk Regular" w:cs="NimbusRomNo9L-Regu"/>
          <w:color w:val="0000FF"/>
          <w:sz w:val="18"/>
          <w:szCs w:val="14"/>
          <w:lang w:val="en-US"/>
        </w:rPr>
        <w:t xml:space="preserve">https://www.ipcc-nggip.iges.or.jp/public/2019rf/pdf/4_Volume4/19R_V4_Ch04_Forest%20Land.pdf </w:t>
      </w:r>
      <w:r w:rsidRPr="002D5E9E">
        <w:rPr>
          <w:rFonts w:ascii="NimbusRomNo9L-Regu" w:eastAsia="NimbusRomNo9L-Regu" w:hAnsi="Atlas Grotesk Regular" w:cs="NimbusRomNo9L-Regu"/>
          <w:color w:val="000000"/>
          <w:sz w:val="18"/>
          <w:szCs w:val="14"/>
          <w:lang w:val="en-US"/>
        </w:rPr>
        <w:t>(2019).</w:t>
      </w:r>
    </w:p>
    <w:p w14:paraId="58192F4C" w14:textId="15F7CC7D" w:rsidR="002D5E9E" w:rsidRPr="002D5E9E" w:rsidRDefault="002D5E9E" w:rsidP="002D5E9E">
      <w:pPr>
        <w:autoSpaceDE w:val="0"/>
        <w:autoSpaceDN w:val="0"/>
        <w:adjustRightInd w:val="0"/>
        <w:rPr>
          <w:rFonts w:ascii="NimbusRomNo9L-Regu" w:eastAsia="NimbusRomNo9L-Regu" w:hAnsi="Atlas Grotesk Regular" w:cs="NimbusRomNo9L-Regu"/>
          <w:color w:val="0000FF"/>
          <w:sz w:val="18"/>
          <w:szCs w:val="14"/>
          <w:lang w:val="en-US"/>
        </w:rPr>
      </w:pPr>
      <w:r w:rsidRPr="002D5E9E">
        <w:rPr>
          <w:sz w:val="18"/>
          <w:szCs w:val="14"/>
        </w:rPr>
        <w:lastRenderedPageBreak/>
        <w:t xml:space="preserve">2. </w:t>
      </w:r>
      <w:r w:rsidRPr="002D5E9E">
        <w:rPr>
          <w:rFonts w:ascii="NimbusRomNo9L-Regu" w:eastAsia="NimbusRomNo9L-Regu" w:hAnsi="Atlas Grotesk Regular" w:cs="NimbusRomNo9L-Regu"/>
          <w:color w:val="000000"/>
          <w:sz w:val="18"/>
          <w:szCs w:val="14"/>
          <w:lang w:val="en-US"/>
        </w:rPr>
        <w:t xml:space="preserve">Healey, S. P., Patterson, P. L. &amp; </w:t>
      </w:r>
      <w:proofErr w:type="spellStart"/>
      <w:r w:rsidRPr="002D5E9E">
        <w:rPr>
          <w:rFonts w:ascii="NimbusRomNo9L-Regu" w:eastAsia="NimbusRomNo9L-Regu" w:hAnsi="Atlas Grotesk Regular" w:cs="NimbusRomNo9L-Regu"/>
          <w:color w:val="000000"/>
          <w:sz w:val="18"/>
          <w:szCs w:val="14"/>
          <w:lang w:val="en-US"/>
        </w:rPr>
        <w:t>Armston</w:t>
      </w:r>
      <w:proofErr w:type="spellEnd"/>
      <w:r w:rsidRPr="002D5E9E">
        <w:rPr>
          <w:rFonts w:ascii="NimbusRomNo9L-Regu" w:eastAsia="NimbusRomNo9L-Regu" w:hAnsi="Atlas Grotesk Regular" w:cs="NimbusRomNo9L-Regu"/>
          <w:color w:val="000000"/>
          <w:sz w:val="18"/>
          <w:szCs w:val="14"/>
          <w:lang w:val="en-US"/>
        </w:rPr>
        <w:t>, J. Algorithm Theoretical Basis Document (ATBD) for GEDI</w:t>
      </w:r>
      <w:r w:rsidRPr="002D5E9E">
        <w:rPr>
          <w:rFonts w:ascii="NimbusSanL-Regu" w:eastAsia="NimbusSanL-Regu" w:hAnsi="Atlas Grotesk Regular" w:cs="NimbusSanL-Regu"/>
          <w:color w:val="000000"/>
          <w:sz w:val="18"/>
          <w:szCs w:val="14"/>
          <w:lang w:val="en-US"/>
        </w:rPr>
        <w:t xml:space="preserve"> </w:t>
      </w:r>
      <w:r w:rsidRPr="002D5E9E">
        <w:rPr>
          <w:rFonts w:ascii="NimbusRomNo9L-Regu" w:eastAsia="NimbusRomNo9L-Regu" w:hAnsi="Atlas Grotesk Regular" w:cs="NimbusRomNo9L-Regu"/>
          <w:color w:val="000000"/>
          <w:sz w:val="18"/>
          <w:szCs w:val="14"/>
          <w:lang w:val="en-US"/>
        </w:rPr>
        <w:t xml:space="preserve">Level-4B (L4B) Gridded Aboveground Biomass Density. Version 2.1. </w:t>
      </w:r>
      <w:r w:rsidRPr="002D5E9E">
        <w:rPr>
          <w:rFonts w:ascii="NimbusRomNo9L-Regu" w:eastAsia="NimbusRomNo9L-Regu" w:hAnsi="Atlas Grotesk Regular" w:cs="NimbusRomNo9L-Regu"/>
          <w:color w:val="0000FF"/>
          <w:sz w:val="18"/>
          <w:szCs w:val="14"/>
          <w:lang w:val="en-US"/>
        </w:rPr>
        <w:t xml:space="preserve">https://daac.ornl.gov/daacdata/gedi/GEDI_L4B_Gridded_Biomass_V2_1/comp/GEDI_L4B_ATBD_V2.0.pdf </w:t>
      </w:r>
    </w:p>
    <w:p w14:paraId="59385611" w14:textId="77777777" w:rsidR="002D5E9E" w:rsidRPr="002D5E9E" w:rsidRDefault="002D5E9E" w:rsidP="002D5E9E">
      <w:pPr>
        <w:autoSpaceDE w:val="0"/>
        <w:autoSpaceDN w:val="0"/>
        <w:adjustRightInd w:val="0"/>
        <w:rPr>
          <w:rFonts w:ascii="NimbusRomNo9L-Regu" w:eastAsia="NimbusRomNo9L-Regu" w:hAnsi="Atlas Grotesk Regular" w:cs="NimbusRomNo9L-Regu"/>
          <w:color w:val="000000"/>
          <w:sz w:val="18"/>
          <w:szCs w:val="14"/>
          <w:lang w:val="en-US"/>
        </w:rPr>
      </w:pPr>
      <w:r w:rsidRPr="002D5E9E">
        <w:rPr>
          <w:sz w:val="18"/>
          <w:szCs w:val="14"/>
        </w:rPr>
        <w:t xml:space="preserve">3. </w:t>
      </w:r>
      <w:r w:rsidRPr="002D5E9E">
        <w:rPr>
          <w:rFonts w:ascii="NimbusRomNo9L-Regu" w:eastAsia="NimbusRomNo9L-Regu" w:hAnsi="Atlas Grotesk Regular" w:cs="NimbusRomNo9L-Regu"/>
          <w:color w:val="000000"/>
          <w:sz w:val="18"/>
          <w:szCs w:val="14"/>
          <w:lang w:val="en-US"/>
        </w:rPr>
        <w:t xml:space="preserve">Duncanson, L. </w:t>
      </w:r>
      <w:r w:rsidRPr="002D5E9E">
        <w:rPr>
          <w:rFonts w:ascii="NimbusRomNo9L-ReguItal" w:eastAsia="NimbusRomNo9L-ReguItal" w:hAnsi="Atlas Grotesk Regular" w:cs="NimbusRomNo9L-ReguItal"/>
          <w:color w:val="000000"/>
          <w:sz w:val="18"/>
          <w:szCs w:val="14"/>
          <w:lang w:val="en-US"/>
        </w:rPr>
        <w:t xml:space="preserve">et al. </w:t>
      </w:r>
      <w:r w:rsidRPr="002D5E9E">
        <w:rPr>
          <w:rFonts w:ascii="NimbusRomNo9L-Regu" w:eastAsia="NimbusRomNo9L-Regu" w:hAnsi="Atlas Grotesk Regular" w:cs="NimbusRomNo9L-Regu"/>
          <w:color w:val="000000"/>
          <w:sz w:val="18"/>
          <w:szCs w:val="14"/>
          <w:lang w:val="en-US"/>
        </w:rPr>
        <w:t xml:space="preserve">Aboveground biomass density for high latitude forests from IceSAT-2, 2020, </w:t>
      </w:r>
      <w:r w:rsidRPr="002D5E9E">
        <w:rPr>
          <w:rFonts w:ascii="NimbusRomNo9L-Regu" w:eastAsia="NimbusRomNo9L-Regu" w:hAnsi="Atlas Grotesk Regular" w:cs="NimbusRomNo9L-Regu"/>
          <w:color w:val="0000FF"/>
          <w:sz w:val="18"/>
          <w:szCs w:val="14"/>
          <w:lang w:val="en-US"/>
        </w:rPr>
        <w:t xml:space="preserve">10.3334/ORNLDAAC/2186 </w:t>
      </w:r>
      <w:r w:rsidRPr="002D5E9E">
        <w:rPr>
          <w:rFonts w:ascii="NimbusRomNo9L-Regu" w:eastAsia="NimbusRomNo9L-Regu" w:hAnsi="Atlas Grotesk Regular" w:cs="NimbusRomNo9L-Regu"/>
          <w:color w:val="000000"/>
          <w:sz w:val="18"/>
          <w:szCs w:val="14"/>
          <w:lang w:val="en-US"/>
        </w:rPr>
        <w:t>(2023).</w:t>
      </w:r>
    </w:p>
    <w:p w14:paraId="614AB3BF" w14:textId="4FF75459" w:rsidR="002D5E9E" w:rsidRPr="002D5E9E" w:rsidRDefault="002D5E9E" w:rsidP="002D5E9E">
      <w:pPr>
        <w:autoSpaceDE w:val="0"/>
        <w:autoSpaceDN w:val="0"/>
        <w:adjustRightInd w:val="0"/>
        <w:rPr>
          <w:sz w:val="18"/>
          <w:szCs w:val="14"/>
        </w:rPr>
      </w:pPr>
      <w:r w:rsidRPr="002D5E9E">
        <w:rPr>
          <w:sz w:val="18"/>
          <w:szCs w:val="14"/>
        </w:rPr>
        <w:t xml:space="preserve">4. </w:t>
      </w:r>
      <w:r w:rsidRPr="002D5E9E">
        <w:rPr>
          <w:rFonts w:ascii="NimbusRomNo9L-Regu" w:eastAsia="NimbusRomNo9L-Regu" w:hAnsi="Atlas Grotesk Regular" w:cs="NimbusRomNo9L-Regu"/>
          <w:color w:val="000000"/>
          <w:sz w:val="18"/>
          <w:szCs w:val="14"/>
          <w:lang w:val="en-US"/>
        </w:rPr>
        <w:t>Santoro, M. &amp; Cartus, O. ESA Biomass Climate Change Initiative: Global datasets of</w:t>
      </w:r>
      <w:r w:rsidRPr="002D5E9E">
        <w:rPr>
          <w:rFonts w:ascii="NimbusSanL-Regu" w:eastAsia="NimbusSanL-Regu" w:hAnsi="Atlas Grotesk Regular" w:cs="NimbusSanL-Regu"/>
          <w:color w:val="000000"/>
          <w:sz w:val="18"/>
          <w:szCs w:val="14"/>
          <w:lang w:val="en-US"/>
        </w:rPr>
        <w:t xml:space="preserve"> </w:t>
      </w:r>
      <w:r w:rsidRPr="002D5E9E">
        <w:rPr>
          <w:rFonts w:ascii="NimbusRomNo9L-Regu" w:eastAsia="NimbusRomNo9L-Regu" w:hAnsi="Atlas Grotesk Regular" w:cs="NimbusRomNo9L-Regu"/>
          <w:color w:val="000000"/>
          <w:sz w:val="18"/>
          <w:szCs w:val="14"/>
          <w:lang w:val="en-US"/>
        </w:rPr>
        <w:t xml:space="preserve">forest above-ground biomass for the years 2010, 2017, 2018, 2019 and 2020, v4. </w:t>
      </w:r>
      <w:r w:rsidRPr="002D5E9E">
        <w:rPr>
          <w:rFonts w:ascii="NimbusRomNo9L-Regu" w:eastAsia="NimbusRomNo9L-Regu" w:hAnsi="Atlas Grotesk Regular" w:cs="NimbusRomNo9L-Regu"/>
          <w:color w:val="0000FF"/>
          <w:sz w:val="18"/>
          <w:szCs w:val="14"/>
          <w:lang w:val="en-US"/>
        </w:rPr>
        <w:t xml:space="preserve">https://catalogue.ceda.ac.uk/uuid/af60720c1e404a9e9d2c145d2b2ead4e </w:t>
      </w:r>
      <w:r w:rsidRPr="002D5E9E">
        <w:rPr>
          <w:rFonts w:ascii="NimbusRomNo9L-Regu" w:eastAsia="NimbusRomNo9L-Regu" w:hAnsi="Atlas Grotesk Regular" w:cs="NimbusRomNo9L-Regu"/>
          <w:color w:val="000000"/>
          <w:sz w:val="18"/>
          <w:szCs w:val="14"/>
          <w:lang w:val="en-US"/>
        </w:rPr>
        <w:t>(2023).</w:t>
      </w:r>
    </w:p>
    <w:p w14:paraId="09DEA3F8" w14:textId="77777777" w:rsidR="002D5E9E" w:rsidRPr="002D5E9E" w:rsidRDefault="002D5E9E" w:rsidP="002D5E9E">
      <w:pPr>
        <w:pStyle w:val="Pa12"/>
        <w:rPr>
          <w:sz w:val="16"/>
          <w:szCs w:val="22"/>
        </w:rPr>
      </w:pPr>
    </w:p>
    <w:p w14:paraId="3D45250E" w14:textId="77777777" w:rsidR="002D5E9E" w:rsidRPr="002D5E9E" w:rsidRDefault="002D5E9E" w:rsidP="002D5E9E">
      <w:pPr>
        <w:pStyle w:val="Pa12"/>
        <w:rPr>
          <w:rStyle w:val="A4"/>
          <w:bCs/>
          <w:sz w:val="16"/>
        </w:rPr>
      </w:pPr>
    </w:p>
    <w:p w14:paraId="20AB5A43" w14:textId="77777777" w:rsidR="002D5E9E" w:rsidRPr="002D5E9E" w:rsidRDefault="002D5E9E" w:rsidP="002D5E9E">
      <w:pPr>
        <w:pStyle w:val="Pa12"/>
        <w:rPr>
          <w:sz w:val="16"/>
          <w:szCs w:val="22"/>
        </w:rPr>
      </w:pPr>
    </w:p>
    <w:p w14:paraId="68B27D73" w14:textId="77777777" w:rsidR="002D5E9E" w:rsidRPr="002D5E9E" w:rsidRDefault="002D5E9E" w:rsidP="002D5E9E">
      <w:pPr>
        <w:pStyle w:val="Pa12"/>
        <w:rPr>
          <w:sz w:val="28"/>
          <w:szCs w:val="22"/>
        </w:rPr>
      </w:pPr>
      <w:r w:rsidRPr="002D5E9E">
        <w:rPr>
          <w:sz w:val="28"/>
          <w:szCs w:val="22"/>
        </w:rPr>
        <w:br/>
      </w:r>
      <w:r w:rsidRPr="002D5E9E">
        <w:rPr>
          <w:sz w:val="28"/>
          <w:szCs w:val="22"/>
        </w:rPr>
        <w:br/>
      </w:r>
      <w:r w:rsidRPr="002D5E9E">
        <w:rPr>
          <w:sz w:val="28"/>
          <w:szCs w:val="22"/>
        </w:rPr>
        <w:br/>
      </w:r>
      <w:r w:rsidRPr="002D5E9E">
        <w:rPr>
          <w:sz w:val="28"/>
          <w:szCs w:val="22"/>
        </w:rPr>
        <w:br/>
      </w:r>
      <w:r w:rsidRPr="002D5E9E">
        <w:rPr>
          <w:sz w:val="28"/>
          <w:szCs w:val="22"/>
        </w:rPr>
        <w:br/>
      </w:r>
      <w:r w:rsidRPr="002D5E9E">
        <w:rPr>
          <w:sz w:val="28"/>
          <w:szCs w:val="22"/>
        </w:rPr>
        <w:br/>
      </w:r>
      <w:r w:rsidRPr="002D5E9E">
        <w:rPr>
          <w:sz w:val="28"/>
          <w:szCs w:val="22"/>
        </w:rPr>
        <w:br/>
      </w:r>
      <w:r w:rsidRPr="002D5E9E">
        <w:rPr>
          <w:sz w:val="28"/>
          <w:szCs w:val="22"/>
        </w:rPr>
        <w:br/>
      </w:r>
      <w:r w:rsidRPr="002D5E9E">
        <w:rPr>
          <w:sz w:val="28"/>
          <w:szCs w:val="22"/>
        </w:rPr>
        <w:br/>
      </w:r>
      <w:r w:rsidRPr="002D5E9E">
        <w:rPr>
          <w:sz w:val="28"/>
          <w:szCs w:val="22"/>
        </w:rPr>
        <w:br/>
      </w:r>
    </w:p>
    <w:p w14:paraId="22839F10" w14:textId="77777777" w:rsidR="002D5E9E" w:rsidRPr="002D5E9E" w:rsidRDefault="002D5E9E" w:rsidP="002D5E9E">
      <w:pPr>
        <w:pStyle w:val="Default"/>
        <w:rPr>
          <w:sz w:val="32"/>
        </w:rPr>
      </w:pPr>
    </w:p>
    <w:p w14:paraId="2E79ED13" w14:textId="77777777" w:rsidR="002D5E9E" w:rsidRPr="002D5E9E" w:rsidRDefault="002D5E9E" w:rsidP="002D5E9E">
      <w:pPr>
        <w:pStyle w:val="Default"/>
        <w:rPr>
          <w:sz w:val="32"/>
        </w:rPr>
      </w:pPr>
    </w:p>
    <w:p w14:paraId="357E77AE" w14:textId="1688B797" w:rsidR="002D5E9E" w:rsidRPr="002D5E9E" w:rsidRDefault="002D5E9E" w:rsidP="002D5E9E">
      <w:pPr>
        <w:rPr>
          <w:sz w:val="32"/>
        </w:rPr>
      </w:pPr>
      <w:r w:rsidRPr="002D5E9E">
        <w:rPr>
          <w:rStyle w:val="A4"/>
          <w:bCs/>
          <w:sz w:val="28"/>
        </w:rPr>
        <w:br/>
      </w:r>
      <w:r w:rsidRPr="002D5E9E">
        <w:rPr>
          <w:rStyle w:val="A4"/>
          <w:bCs/>
          <w:sz w:val="28"/>
        </w:rPr>
        <w:br/>
      </w:r>
      <w:r w:rsidRPr="002D5E9E">
        <w:rPr>
          <w:rStyle w:val="A4"/>
          <w:bCs/>
          <w:sz w:val="28"/>
        </w:rPr>
        <w:br/>
      </w:r>
      <w:r w:rsidRPr="002D5E9E">
        <w:rPr>
          <w:rStyle w:val="A4"/>
          <w:bCs/>
          <w:sz w:val="28"/>
        </w:rPr>
        <w:br/>
      </w:r>
    </w:p>
    <w:sectPr w:rsidR="002D5E9E" w:rsidRPr="002D5E9E" w:rsidSect="00122AB0">
      <w:pgSz w:w="11906" w:h="16838"/>
      <w:pgMar w:top="1440"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RomNo9L-Regu">
    <w:altName w:val="Yu Gothic"/>
    <w:panose1 w:val="00000000000000000000"/>
    <w:charset w:val="80"/>
    <w:family w:val="auto"/>
    <w:notTrueType/>
    <w:pitch w:val="default"/>
    <w:sig w:usb0="00000001" w:usb1="08070000" w:usb2="00000010" w:usb3="00000000" w:csb0="00020000" w:csb1="00000000"/>
  </w:font>
  <w:font w:name="NimbusSanL-Regu">
    <w:altName w:val="Yu Gothic"/>
    <w:panose1 w:val="00000000000000000000"/>
    <w:charset w:val="80"/>
    <w:family w:val="auto"/>
    <w:notTrueType/>
    <w:pitch w:val="default"/>
    <w:sig w:usb0="00000001" w:usb1="08070000" w:usb2="00000010" w:usb3="00000000" w:csb0="00020000" w:csb1="00000000"/>
  </w:font>
  <w:font w:name="NimbusRomNo9L-ReguItal">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22AB0"/>
    <w:rsid w:val="001564A4"/>
    <w:rsid w:val="001F0AC4"/>
    <w:rsid w:val="002436DA"/>
    <w:rsid w:val="002D5E9E"/>
    <w:rsid w:val="002E12E6"/>
    <w:rsid w:val="0051574E"/>
    <w:rsid w:val="005E544F"/>
    <w:rsid w:val="00612599"/>
    <w:rsid w:val="006A5819"/>
    <w:rsid w:val="007D4347"/>
    <w:rsid w:val="008803FA"/>
    <w:rsid w:val="008D42B9"/>
    <w:rsid w:val="009845F6"/>
    <w:rsid w:val="00A42E09"/>
    <w:rsid w:val="00A831AD"/>
    <w:rsid w:val="00B12E32"/>
    <w:rsid w:val="00CF0567"/>
    <w:rsid w:val="00CF7FFC"/>
    <w:rsid w:val="00D7653A"/>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Hyperlink">
    <w:name w:val="Hyperlink"/>
    <w:basedOn w:val="DefaultParagraphFont"/>
    <w:uiPriority w:val="99"/>
    <w:unhideWhenUsed/>
    <w:rsid w:val="008D42B9"/>
    <w:rPr>
      <w:color w:val="0563C1" w:themeColor="hyperlink"/>
      <w:u w:val="single"/>
    </w:rPr>
  </w:style>
  <w:style w:type="character" w:styleId="UnresolvedMention">
    <w:name w:val="Unresolved Mention"/>
    <w:basedOn w:val="DefaultParagraphFont"/>
    <w:uiPriority w:val="99"/>
    <w:semiHidden/>
    <w:unhideWhenUsed/>
    <w:rsid w:val="008D42B9"/>
    <w:rPr>
      <w:color w:val="605E5C"/>
      <w:shd w:val="clear" w:color="auto" w:fill="E1DFDD"/>
    </w:rPr>
  </w:style>
  <w:style w:type="character" w:customStyle="1" w:styleId="publication-statuscitation-doi">
    <w:name w:val="publication-status__citation-doi"/>
    <w:basedOn w:val="DefaultParagraphFont"/>
    <w:rsid w:val="00A42E09"/>
  </w:style>
  <w:style w:type="character" w:styleId="FollowedHyperlink">
    <w:name w:val="FollowedHyperlink"/>
    <w:basedOn w:val="DefaultParagraphFont"/>
    <w:uiPriority w:val="99"/>
    <w:semiHidden/>
    <w:unhideWhenUsed/>
    <w:rsid w:val="00A831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cimaap.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Kaylah McBirney</cp:lastModifiedBy>
  <cp:revision>2</cp:revision>
  <dcterms:created xsi:type="dcterms:W3CDTF">2024-03-22T03:42:00Z</dcterms:created>
  <dcterms:modified xsi:type="dcterms:W3CDTF">2024-03-22T03:42:00Z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