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4B0C" w:rsidRDefault="00FD4B0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bookmarkStart w:id="0" w:name="_GoBack"/>
      <w:bookmarkEnd w:id="0"/>
    </w:p>
    <w:tbl>
      <w:tblPr>
        <w:tblStyle w:val="a"/>
        <w:tblW w:w="95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40"/>
      </w:tblGrid>
      <w:tr w:rsidR="00FD4B0C">
        <w:trPr>
          <w:jc w:val="center"/>
        </w:trPr>
        <w:tc>
          <w:tcPr>
            <w:tcW w:w="9540" w:type="dxa"/>
            <w:shd w:val="clear" w:color="auto" w:fill="auto"/>
          </w:tcPr>
          <w:p w:rsidR="00FD4B0C" w:rsidRDefault="00003DC1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An Audit of The Diagnostic and Management Concordance of Pulmonary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Lymphangioleiomyomatosis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with American Thoracic Society (ATS)/Japanese Respiratory Society (JRS) Guidelines in a Tertiary Interstitial Lung Disease Respiratory Department</w:t>
            </w:r>
          </w:p>
        </w:tc>
      </w:tr>
      <w:tr w:rsidR="00FD4B0C">
        <w:trPr>
          <w:jc w:val="center"/>
        </w:trPr>
        <w:tc>
          <w:tcPr>
            <w:tcW w:w="9540" w:type="dxa"/>
            <w:shd w:val="clear" w:color="auto" w:fill="auto"/>
          </w:tcPr>
          <w:p w:rsidR="00FD4B0C" w:rsidRDefault="00003DC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Caitriona Murphy</w:t>
            </w:r>
            <w:r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1</w:t>
            </w:r>
            <w:r>
              <w:rPr>
                <w:rFonts w:ascii="Arial" w:eastAsia="Arial" w:hAnsi="Arial" w:cs="Arial"/>
                <w:sz w:val="22"/>
                <w:szCs w:val="22"/>
              </w:rPr>
              <w:t>, Jeremy Wrobel</w:t>
            </w:r>
            <w:r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1,2</w:t>
            </w:r>
          </w:p>
        </w:tc>
      </w:tr>
      <w:tr w:rsidR="00FD4B0C">
        <w:trPr>
          <w:trHeight w:val="136"/>
          <w:jc w:val="center"/>
        </w:trPr>
        <w:tc>
          <w:tcPr>
            <w:tcW w:w="9540" w:type="dxa"/>
            <w:shd w:val="clear" w:color="auto" w:fill="auto"/>
          </w:tcPr>
          <w:p w:rsidR="00FD4B0C" w:rsidRDefault="00003DC1">
            <w:pPr>
              <w:rPr>
                <w:rFonts w:ascii="Arial" w:eastAsia="Arial" w:hAnsi="Arial" w:cs="Arial"/>
                <w:i/>
                <w:color w:val="242424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  <w:vertAlign w:val="superscript"/>
              </w:rPr>
              <w:t>1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Advanced Lung Disease Unit, Respiratory Medicine, Fiona Stanley Hospital (FSH), WA</w:t>
            </w:r>
          </w:p>
          <w:p w:rsidR="00FD4B0C" w:rsidRDefault="00003DC1">
            <w:pPr>
              <w:rPr>
                <w:rFonts w:ascii="Arial" w:eastAsia="Arial" w:hAnsi="Arial" w:cs="Arial"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color w:val="242424"/>
                <w:sz w:val="22"/>
                <w:szCs w:val="22"/>
                <w:vertAlign w:val="superscript"/>
              </w:rPr>
              <w:t>2</w:t>
            </w:r>
            <w:r>
              <w:rPr>
                <w:rFonts w:ascii="Arial" w:eastAsia="Arial" w:hAnsi="Arial" w:cs="Arial"/>
                <w:i/>
                <w:color w:val="242424"/>
                <w:sz w:val="22"/>
                <w:szCs w:val="22"/>
              </w:rPr>
              <w:t>Department of Medicine, University of Notre Dame Australia, WA</w:t>
            </w:r>
          </w:p>
        </w:tc>
      </w:tr>
      <w:tr w:rsidR="00FD4B0C">
        <w:trPr>
          <w:trHeight w:val="11235"/>
          <w:jc w:val="center"/>
        </w:trPr>
        <w:tc>
          <w:tcPr>
            <w:tcW w:w="9540" w:type="dxa"/>
            <w:shd w:val="clear" w:color="auto" w:fill="auto"/>
          </w:tcPr>
          <w:p w:rsidR="00FD4B0C" w:rsidRDefault="00003D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Introduction/Aim: </w:t>
            </w:r>
          </w:p>
          <w:p w:rsidR="00FD4B0C" w:rsidRDefault="00003D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Pulmonary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lymphangioleiomyomatosis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pLAM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) is a rare, progressive cystic lung disease mostly affecting women that can lead to respiratory failure. PLAM can occur in association with tuberous sclerosis (TSC-LAM) or be sporadic. The diagnosis of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pLAM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is based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on HRCT chest findings in combination with other clinical, histological, radiological or serological features. Although there are published guidelines for diagnosing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pLAM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, it can sometimes be a difficult diagnosis to establish. The management options incl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ude surveillance, mTOR inhibitors and lung transplantation. Our aim is to identify the concordance with current guidelines for the diagnosis and management of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pLAM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in our tertiary ILD department.</w:t>
            </w:r>
          </w:p>
          <w:p w:rsidR="00FD4B0C" w:rsidRDefault="00FD4B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:rsidR="00FD4B0C" w:rsidRDefault="00003D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noProof/>
              </w:rPr>
              <w:drawing>
                <wp:anchor distT="114300" distB="11430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3333750</wp:posOffset>
                  </wp:positionH>
                  <wp:positionV relativeFrom="paragraph">
                    <wp:posOffset>209550</wp:posOffset>
                  </wp:positionV>
                  <wp:extent cx="2579154" cy="3205163"/>
                  <wp:effectExtent l="0" t="0" r="0" b="0"/>
                  <wp:wrapSquare wrapText="bothSides" distT="114300" distB="114300" distL="114300" distR="11430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9154" cy="32051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Methods: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We undertook a literature review of current guide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lines for the diagnosis and management of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pLAM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 We then identified all patients in our department with a working diagnosis of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pLAM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and reviewed their clinical records for concordance with the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guidelines.</w:t>
            </w:r>
          </w:p>
          <w:p w:rsidR="00FD4B0C" w:rsidRDefault="00FD4B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</w:p>
          <w:p w:rsidR="00FD4B0C" w:rsidRDefault="00003D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hidden="0" allowOverlap="1">
                      <wp:simplePos x="0" y="0"/>
                      <wp:positionH relativeFrom="column">
                        <wp:posOffset>3181350</wp:posOffset>
                      </wp:positionH>
                      <wp:positionV relativeFrom="paragraph">
                        <wp:posOffset>1922780</wp:posOffset>
                      </wp:positionV>
                      <wp:extent cx="2800350" cy="571500"/>
                      <wp:effectExtent l="0" t="0" r="0" b="0"/>
                      <wp:wrapSquare wrapText="bothSides" distT="0" distB="0" distL="0" distR="0"/>
                      <wp:docPr id="1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0035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FD4B0C" w:rsidRDefault="00003DC1">
                                  <w:pPr>
                                    <w:spacing w:before="240" w:after="240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2"/>
                                    </w:rPr>
                                    <w:t xml:space="preserve">Figure 1. Demographic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2"/>
                                    </w:rPr>
                                    <w:t xml:space="preserve">data of our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2"/>
                                    </w:rPr>
                                    <w:t>pLAM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2"/>
                                    </w:rPr>
                                    <w:t xml:space="preserve"> cohort. VEGF, vascular endothelial growth factor. Some patients had more than 1 diagnostic feature.</w:t>
                                  </w:r>
                                </w:p>
                              </w:txbxContent>
                            </wps:txbx>
                            <wps:bodyPr spcFirstLastPara="1" wrap="square" lIns="91425" tIns="91425" rIns="91425" bIns="91425" anchor="t" anchorCtr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6" type="#_x0000_t202" style="position:absolute;margin-left:250.5pt;margin-top:151.4pt;width:220.5pt;height:4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" filled="f" stroked="f">
                      <v:textbox style="mso-fit-shape-to-text:t" inset="2.53958mm,2.53958mm,2.53958mm,2.53958mm">
                        <w:txbxContent>
                          <w:p w:rsidR="00FD4B0C" w:rsidRDefault="00003DC1">
                            <w:pPr>
                              <w:spacing w:before="240" w:after="24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 xml:space="preserve">Figure 1. Demographic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 xml:space="preserve">data of our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>pLAM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</w:rPr>
                              <w:t xml:space="preserve"> cohort. VEGF, vascular endothelial growth factor. Some patients had more than 1 diagnostic feature.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Results: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15 patients with a working diagnosis of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pLAM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were identified. Three patients were excluded as they were still undergoing diagnostic assessment. Figure 1 outlines patient demographics. As per ATS/JRS guidelines a clinical diagnosis of LAM can be made if a patient has CT chest findings characteris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tic of LAM and either tuberous sclerosis, renal angiomyolipoma, extrapulmonary LAM,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chylous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effusions or raised VEGF-D. Definitive diagnosis requires presence of LAM cells on histology. Treatment with an mTOR inhibitor is recommended if FEV1 &lt; 70% predicte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d. Of 12 patients, only 2 had definite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pLAM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based on histology and 7 patients had a clinical diagnosis of LAM consistent with guidelines. Only 2 patients were treated with mTOR inhibitors although 2 others had FEV1 &lt; 70% predicted.</w:t>
            </w:r>
          </w:p>
          <w:p w:rsidR="00FD4B0C" w:rsidRDefault="00FD4B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</w:p>
          <w:p w:rsidR="00FD4B0C" w:rsidRDefault="00003D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Conclusion: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Amongst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pLAM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cohort in our tertiary ILD department, there is suboptimal diagnostic concordance at 75% and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management</w:t>
            </w:r>
            <w:r w:rsidR="004C7621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concordance at </w:t>
            </w:r>
            <w:r w:rsidR="004C7621">
              <w:rPr>
                <w:rFonts w:ascii="Arial" w:eastAsia="Arial" w:hAnsi="Arial" w:cs="Arial"/>
                <w:color w:val="000000"/>
                <w:sz w:val="22"/>
                <w:szCs w:val="22"/>
              </w:rPr>
              <w:t>75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% with published guidelines. Reasons for suboptimal concordance with guidelines should be further explored.</w:t>
            </w:r>
          </w:p>
          <w:p w:rsidR="00FD4B0C" w:rsidRDefault="00FD4B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</w:p>
          <w:p w:rsidR="00FD4B0C" w:rsidRDefault="00003D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Gr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ant Support: None</w:t>
            </w:r>
          </w:p>
          <w:p w:rsidR="00FD4B0C" w:rsidRDefault="00FD4B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</w:tbl>
    <w:p w:rsidR="00FD4B0C" w:rsidRDefault="00FD4B0C"/>
    <w:sectPr w:rsidR="00FD4B0C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B0C"/>
    <w:rsid w:val="00003DC1"/>
    <w:rsid w:val="004C7621"/>
    <w:rsid w:val="00FD4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BD027"/>
  <w15:docId w15:val="{3452C577-5292-40BF-8644-F6685C85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lang w:val="en-GB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hAnsi="Arial" w:cs="Arial"/>
      <w:color w:val="000000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dKQaWtCkuEMsOCMGdLw2dfMjdQ==">CgMxLjA4AHIhMWw5cnJmZVRyajUxZVN0QkxpMFVEM2Y5VDlDeUdPS1FG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372</Words>
  <Characters>2122</Characters>
  <Application>Microsoft Office Word</Application>
  <DocSecurity>0</DocSecurity>
  <Lines>17</Lines>
  <Paragraphs>4</Paragraphs>
  <ScaleCrop>false</ScaleCrop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Lele Talagi</dc:creator>
  <cp:lastModifiedBy>Murphy, Caitriona</cp:lastModifiedBy>
  <cp:revision>3</cp:revision>
  <dcterms:created xsi:type="dcterms:W3CDTF">2023-10-19T02:38:00Z</dcterms:created>
  <dcterms:modified xsi:type="dcterms:W3CDTF">2023-10-19T02:47:00Z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