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B0C" w:rsidRDefault="00FD4B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FD4B0C">
        <w:trPr>
          <w:jc w:val="center"/>
        </w:trPr>
        <w:tc>
          <w:tcPr>
            <w:tcW w:w="9540" w:type="dxa"/>
            <w:shd w:val="clear" w:color="auto" w:fill="auto"/>
          </w:tcPr>
          <w:p w:rsidR="00FD4B0C" w:rsidRDefault="00003DC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An Audit of The Diagnostic and Management Concordance of Pulmonary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Lymphangioleiomyomatosis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with American Thoracic Society (ATS)/Japanese Respiratory Society (JRS) Guidelines in a Tertiary Interstitial Lung Disease Respiratory Department</w:t>
            </w:r>
          </w:p>
        </w:tc>
      </w:tr>
      <w:tr w:rsidR="00FD4B0C">
        <w:trPr>
          <w:jc w:val="center"/>
        </w:trPr>
        <w:tc>
          <w:tcPr>
            <w:tcW w:w="9540" w:type="dxa"/>
            <w:shd w:val="clear" w:color="auto" w:fill="auto"/>
          </w:tcPr>
          <w:p w:rsidR="00FD4B0C" w:rsidRDefault="00003D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Caitriona Murphy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, Jeremy Wrobel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1,2</w:t>
            </w:r>
          </w:p>
        </w:tc>
      </w:tr>
      <w:tr w:rsidR="00FD4B0C">
        <w:trPr>
          <w:trHeight w:val="136"/>
          <w:jc w:val="center"/>
        </w:trPr>
        <w:tc>
          <w:tcPr>
            <w:tcW w:w="9540" w:type="dxa"/>
            <w:shd w:val="clear" w:color="auto" w:fill="auto"/>
          </w:tcPr>
          <w:p w:rsidR="00FD4B0C" w:rsidRDefault="00003DC1">
            <w:pPr>
              <w:rPr>
                <w:rFonts w:ascii="Arial" w:eastAsia="Arial" w:hAnsi="Arial" w:cs="Arial"/>
                <w:i/>
                <w:color w:val="242424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Advanced Lung Disease Unit, Respiratory Medicine, Fiona Stanley Hospital (FSH), WA</w:t>
            </w:r>
          </w:p>
          <w:p w:rsidR="00FD4B0C" w:rsidRDefault="00003DC1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242424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i/>
                <w:color w:val="242424"/>
                <w:sz w:val="22"/>
                <w:szCs w:val="22"/>
              </w:rPr>
              <w:t>Department of Medicine, University of Notre Dame Australia, WA</w:t>
            </w:r>
          </w:p>
        </w:tc>
      </w:tr>
      <w:tr w:rsidR="00FD4B0C">
        <w:trPr>
          <w:trHeight w:val="11235"/>
          <w:jc w:val="center"/>
        </w:trPr>
        <w:tc>
          <w:tcPr>
            <w:tcW w:w="9540" w:type="dxa"/>
            <w:shd w:val="clear" w:color="auto" w:fill="auto"/>
          </w:tcPr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Introduction/Aim: </w:t>
            </w:r>
          </w:p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Pulmonary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lymphangioleiomyomatosis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is a rare, progressive cystic lung disease mostly affecting women that can lead to respiratory failure. PLAM can occur in association with tuberous sclerosis (TSC-LAM) or be sporadic. The diagnosis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is based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on HRCT chest findings in combination with other clinical, histological, radiological or serological features. Although there are published guidelines for diagnosing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it can sometimes be a difficult diagnosis to establish. The management options incl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ude surveillance, mTOR inhibitors and lung transplantation. Our aim is to identify the concordance with current guidelines for the diagnosis and management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our tertiary ILD department.</w:t>
            </w:r>
          </w:p>
          <w:p w:rsidR="00FD4B0C" w:rsidRDefault="00FD4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3333750</wp:posOffset>
                  </wp:positionH>
                  <wp:positionV relativeFrom="paragraph">
                    <wp:posOffset>209550</wp:posOffset>
                  </wp:positionV>
                  <wp:extent cx="2579154" cy="3205163"/>
                  <wp:effectExtent l="0" t="0" r="0" b="0"/>
                  <wp:wrapSquare wrapText="bothSides" distT="114300" distB="114300" distL="114300" distR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154" cy="3205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Methods: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We undertook a literature review of current guide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lines for the diagnosis and management of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We then identified all patients in our department with a working diagnosis of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reviewed their clinical records for concordance with the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guidelines.</w:t>
            </w:r>
          </w:p>
          <w:p w:rsidR="00FD4B0C" w:rsidRDefault="00FD4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hidden="0" allowOverlap="1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1922780</wp:posOffset>
                      </wp:positionV>
                      <wp:extent cx="2800350" cy="571500"/>
                      <wp:effectExtent l="0" t="0" r="0" b="0"/>
                      <wp:wrapSquare wrapText="bothSides" distT="0" distB="0" distL="0" distR="0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D4B0C" w:rsidRDefault="00003DC1">
                                  <w:pPr>
                                    <w:spacing w:before="240" w:after="240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 xml:space="preserve">Figure 1. Demographic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 xml:space="preserve">data of our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>pLAM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2"/>
                                    </w:rPr>
                                    <w:t xml:space="preserve"> cohort. VEGF, vascular endothelial growth factor. Some patients had more than 1 diagnostic feature.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250.5pt;margin-top:151.4pt;width:220.5pt;height: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" filled="f" stroked="f">
                      <v:textbox style="mso-fit-shape-to-text:t" inset="2.53958mm,2.53958mm,2.53958mm,2.53958mm">
                        <w:txbxContent>
                          <w:p w:rsidR="00FD4B0C" w:rsidRDefault="00003DC1">
                            <w:pPr>
                              <w:spacing w:before="240" w:after="24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Figure 1. Demographic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data of our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pLAM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cohort. VEGF, vascular endothelial growth factor. Some patients had more than 1 diagnostic feature.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Results: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15 patients with a working diagnosis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were identified. Three patients were excluded as they were still undergoing diagnostic assessment. Figure 1 outlines patient demographics. As per ATS/JRS guidelines a clinical diagnosis of LAM can be made if a patient has CT chest findings characteris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tic of LAM and either tuberous sclerosis, renal angiomyolipoma, extrapulmonary LAM,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chylous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effusions or raised VEGF-D. Definitive diagnosis requires presence of LAM cells on histology. Treatment with an mTOR inhibitor is recommended if FEV1 &lt; 70% predicte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d. Of 12 patients, only 2 had definite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based on histology and 7 patients had a clinical diagnosis of LAM consistent with guidelines. Only 2 patients were treated with mTOR inhibitors although 2 others had FEV1 &lt; 70% predicted.</w:t>
            </w:r>
          </w:p>
          <w:p w:rsidR="00FD4B0C" w:rsidRDefault="00FD4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Conclusion: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Amongst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pLAM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cohort in our tertiary ILD department, there is suboptimal diagnostic concordance at 75% and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management</w:t>
            </w:r>
            <w:r w:rsidR="004C76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concordance at </w:t>
            </w:r>
            <w:r w:rsidR="004C7621">
              <w:rPr>
                <w:rFonts w:ascii="Arial" w:eastAsia="Arial" w:hAnsi="Arial" w:cs="Arial"/>
                <w:color w:val="000000"/>
                <w:sz w:val="22"/>
                <w:szCs w:val="22"/>
              </w:rPr>
              <w:t>75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 with published guidelines. Reasons for suboptimal concordance with guidelines should be further explored.</w:t>
            </w:r>
          </w:p>
          <w:p w:rsidR="00FD4B0C" w:rsidRDefault="00FD4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FD4B0C" w:rsidRDefault="00003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ant Support: None</w:t>
            </w:r>
          </w:p>
          <w:p w:rsidR="00FD4B0C" w:rsidRDefault="00FD4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FD4B0C" w:rsidRDefault="00FD4B0C"/>
    <w:sectPr w:rsidR="00FD4B0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C"/>
    <w:rsid w:val="00003DC1"/>
    <w:rsid w:val="004C7621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D027"/>
  <w15:docId w15:val="{3452C577-5292-40BF-8644-F6685C85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hAnsi="Arial" w:cs="Arial"/>
      <w:color w:val="000000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KQaWtCkuEMsOCMGdLw2dfMjdQ==">CgMxLjA4AHIhMWw5cnJmZVRyajUxZVN0QkxpMFVEM2Y5VDlDeUdPS1FG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Lele Talagi</dc:creator>
  <cp:lastModifiedBy>Murphy, Caitriona</cp:lastModifiedBy>
  <cp:revision>3</cp:revision>
  <dcterms:created xsi:type="dcterms:W3CDTF">2023-10-19T02:38:00Z</dcterms:created>
  <dcterms:modified xsi:type="dcterms:W3CDTF">2023-10-19T02:47:00Z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