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F4674" w14:paraId="5A4DE250" w14:textId="77777777">
        <w:tc>
          <w:tcPr>
            <w:tcW w:w="8640" w:type="dxa"/>
          </w:tcPr>
          <w:p w14:paraId="702E7CB0" w14:textId="77777777" w:rsidR="00BF4674" w:rsidRPr="00BF4674" w:rsidRDefault="00BF4674" w:rsidP="00BF4674">
            <w:pPr>
              <w:rPr>
                <w:rFonts w:ascii="Arial" w:hAnsi="Arial" w:cs="Arial"/>
                <w:b/>
                <w:sz w:val="22"/>
                <w:szCs w:val="22"/>
              </w:rPr>
            </w:pPr>
            <w:r w:rsidRPr="00BF4674">
              <w:rPr>
                <w:rFonts w:ascii="Arial" w:hAnsi="Arial" w:cs="Arial"/>
                <w:b/>
                <w:sz w:val="22"/>
                <w:szCs w:val="22"/>
              </w:rPr>
              <w:t>Taipei healthy City Improvement Plan</w:t>
            </w:r>
          </w:p>
          <w:p w14:paraId="5A4DE24F" w14:textId="1D0BFE7B" w:rsidR="002B7FC8" w:rsidRPr="00BF4674" w:rsidRDefault="002B7FC8" w:rsidP="00E36AD7">
            <w:pPr>
              <w:jc w:val="both"/>
              <w:rPr>
                <w:rFonts w:ascii="Arial" w:hAnsi="Arial" w:cs="Arial"/>
                <w:sz w:val="22"/>
                <w:szCs w:val="22"/>
              </w:rPr>
            </w:pPr>
          </w:p>
        </w:tc>
      </w:tr>
      <w:tr w:rsidR="002B7FC8" w:rsidRPr="00BF4674" w14:paraId="5A4DE264" w14:textId="77777777" w:rsidTr="00D71EFE">
        <w:trPr>
          <w:trHeight w:val="7663"/>
        </w:trPr>
        <w:tc>
          <w:tcPr>
            <w:tcW w:w="8640" w:type="dxa"/>
          </w:tcPr>
          <w:p w14:paraId="381EF01C" w14:textId="77777777" w:rsidR="00BF4674" w:rsidRDefault="00BF4674" w:rsidP="00BF4674">
            <w:pPr>
              <w:jc w:val="both"/>
              <w:rPr>
                <w:rFonts w:ascii="Arial" w:hAnsi="Arial" w:cs="Arial"/>
                <w:b/>
                <w:sz w:val="22"/>
                <w:szCs w:val="22"/>
              </w:rPr>
            </w:pPr>
          </w:p>
          <w:p w14:paraId="2826FCD1" w14:textId="42725B22" w:rsidR="00BF4674" w:rsidRPr="00BF4674" w:rsidRDefault="00BF4674" w:rsidP="00BF4674">
            <w:pPr>
              <w:jc w:val="both"/>
              <w:rPr>
                <w:rFonts w:ascii="Arial" w:hAnsi="Arial" w:cs="Arial"/>
                <w:b/>
                <w:sz w:val="22"/>
                <w:szCs w:val="22"/>
              </w:rPr>
            </w:pPr>
            <w:bookmarkStart w:id="0" w:name="_GoBack"/>
            <w:bookmarkEnd w:id="0"/>
            <w:r w:rsidRPr="00BF4674">
              <w:rPr>
                <w:rFonts w:ascii="Arial" w:hAnsi="Arial" w:cs="Arial"/>
                <w:b/>
                <w:sz w:val="22"/>
                <w:szCs w:val="22"/>
              </w:rPr>
              <w:t>Setting/problem</w:t>
            </w:r>
          </w:p>
          <w:p w14:paraId="7ABDA182" w14:textId="77777777" w:rsidR="00BF4674" w:rsidRPr="00BF4674" w:rsidRDefault="00BF4674" w:rsidP="00BF4674">
            <w:pPr>
              <w:jc w:val="both"/>
              <w:rPr>
                <w:rFonts w:ascii="Arial" w:hAnsi="Arial" w:cs="Arial"/>
                <w:sz w:val="22"/>
                <w:szCs w:val="22"/>
              </w:rPr>
            </w:pPr>
            <w:r w:rsidRPr="00BF4674">
              <w:rPr>
                <w:rFonts w:ascii="Arial" w:hAnsi="Arial" w:cs="Arial"/>
                <w:sz w:val="22"/>
                <w:szCs w:val="22"/>
              </w:rPr>
              <w:t xml:space="preserve">With environmental changes and high urbanization, people will face many health hazards. According to the World Health Organization (WHO), by 2050, 66% of the world's population will live in urban areas. A metropolitan city with a high population density will lead to the spread of infectious diseases, difficulty in controlling food hygiene, uneven quality of living, worrying about air quality and congestion of traffic vehicles, Taipei has a population of 2,683,257 in 2017 and a density of 9,872 people per square </w:t>
            </w:r>
            <w:proofErr w:type="spellStart"/>
            <w:r w:rsidRPr="00BF4674">
              <w:rPr>
                <w:rFonts w:ascii="Arial" w:hAnsi="Arial" w:cs="Arial"/>
                <w:sz w:val="22"/>
                <w:szCs w:val="22"/>
              </w:rPr>
              <w:t>kilometer</w:t>
            </w:r>
            <w:proofErr w:type="spellEnd"/>
            <w:r w:rsidRPr="00BF4674">
              <w:rPr>
                <w:rFonts w:ascii="Arial" w:hAnsi="Arial" w:cs="Arial"/>
                <w:sz w:val="22"/>
                <w:szCs w:val="22"/>
              </w:rPr>
              <w:t>. The fourth highest, and the problem of high urbanization has exceeded the burden of the health sector, how to promote healthy cities and sustainable cities is an important issue of City Hall and citizens.</w:t>
            </w:r>
          </w:p>
          <w:p w14:paraId="57E9F249" w14:textId="77777777" w:rsidR="00BF4674" w:rsidRPr="00BF4674" w:rsidRDefault="00BF4674" w:rsidP="00BF4674">
            <w:pPr>
              <w:jc w:val="both"/>
              <w:rPr>
                <w:rFonts w:ascii="Arial" w:hAnsi="Arial" w:cs="Arial"/>
                <w:sz w:val="22"/>
                <w:szCs w:val="22"/>
              </w:rPr>
            </w:pPr>
          </w:p>
          <w:p w14:paraId="4500B050" w14:textId="77777777" w:rsidR="00BF4674" w:rsidRPr="00BF4674" w:rsidRDefault="00BF4674" w:rsidP="00BF4674">
            <w:pPr>
              <w:jc w:val="both"/>
              <w:rPr>
                <w:rFonts w:ascii="Arial" w:hAnsi="Arial" w:cs="Arial"/>
                <w:b/>
                <w:sz w:val="22"/>
                <w:szCs w:val="22"/>
              </w:rPr>
            </w:pPr>
            <w:r w:rsidRPr="00BF4674">
              <w:rPr>
                <w:rFonts w:ascii="Arial" w:hAnsi="Arial" w:cs="Arial"/>
                <w:b/>
                <w:sz w:val="22"/>
                <w:szCs w:val="22"/>
              </w:rPr>
              <w:t>Intervention</w:t>
            </w:r>
          </w:p>
          <w:p w14:paraId="4678C614" w14:textId="77777777" w:rsidR="00BF4674" w:rsidRPr="00BF4674" w:rsidRDefault="00BF4674" w:rsidP="00BF4674">
            <w:pPr>
              <w:jc w:val="both"/>
              <w:rPr>
                <w:rFonts w:ascii="Arial" w:hAnsi="Arial" w:cs="Arial"/>
                <w:sz w:val="22"/>
                <w:szCs w:val="22"/>
              </w:rPr>
            </w:pPr>
            <w:r w:rsidRPr="00BF4674">
              <w:rPr>
                <w:rFonts w:ascii="Arial" w:hAnsi="Arial" w:cs="Arial"/>
                <w:sz w:val="22"/>
                <w:szCs w:val="22"/>
              </w:rPr>
              <w:t xml:space="preserve">In response to the high degree of urbanization and rapid aging, the city of Taipei uses SWOT tool to </w:t>
            </w:r>
            <w:proofErr w:type="spellStart"/>
            <w:r w:rsidRPr="00BF4674">
              <w:rPr>
                <w:rFonts w:ascii="Arial" w:hAnsi="Arial" w:cs="Arial"/>
                <w:sz w:val="22"/>
                <w:szCs w:val="22"/>
              </w:rPr>
              <w:t>analyze</w:t>
            </w:r>
            <w:proofErr w:type="spellEnd"/>
            <w:r w:rsidRPr="00BF4674">
              <w:rPr>
                <w:rFonts w:ascii="Arial" w:hAnsi="Arial" w:cs="Arial"/>
                <w:sz w:val="22"/>
                <w:szCs w:val="22"/>
              </w:rPr>
              <w:t xml:space="preserve"> the geographical environment, resource richness, and citizen information accessibility of the city and the needs of the citizens. It employs the Taipei City Government Strategy Map with the reference of international health city indicators and sustainable development goals (SDGs) highlights. Then the city government constituted a health city platform with five promotion task force group, including safe &amp; security, sustainable ecology, vital health, prosperity &amp; convenience, and friendly culture group to jointly formulate 65 healthy city indicators and actions project to act.</w:t>
            </w:r>
          </w:p>
          <w:p w14:paraId="2253BF04" w14:textId="77777777" w:rsidR="00BF4674" w:rsidRPr="00BF4674" w:rsidRDefault="00BF4674" w:rsidP="00BF4674">
            <w:pPr>
              <w:jc w:val="both"/>
              <w:rPr>
                <w:rFonts w:ascii="Arial" w:hAnsi="Arial" w:cs="Arial"/>
                <w:sz w:val="22"/>
                <w:szCs w:val="22"/>
              </w:rPr>
            </w:pPr>
          </w:p>
          <w:p w14:paraId="01D3B674" w14:textId="77777777" w:rsidR="00BF4674" w:rsidRPr="00BF4674" w:rsidRDefault="00BF4674" w:rsidP="00BF4674">
            <w:pPr>
              <w:jc w:val="both"/>
              <w:rPr>
                <w:rFonts w:ascii="Arial" w:hAnsi="Arial" w:cs="Arial"/>
                <w:b/>
                <w:sz w:val="22"/>
                <w:szCs w:val="22"/>
              </w:rPr>
            </w:pPr>
            <w:r w:rsidRPr="00BF4674">
              <w:rPr>
                <w:rFonts w:ascii="Arial" w:hAnsi="Arial" w:cs="Arial"/>
                <w:b/>
                <w:sz w:val="22"/>
                <w:szCs w:val="22"/>
              </w:rPr>
              <w:t>Outcomes</w:t>
            </w:r>
          </w:p>
          <w:p w14:paraId="320B23E2" w14:textId="77777777" w:rsidR="00BF4674" w:rsidRPr="00BF4674" w:rsidRDefault="00BF4674" w:rsidP="00BF4674">
            <w:pPr>
              <w:jc w:val="both"/>
              <w:rPr>
                <w:rFonts w:ascii="Arial" w:hAnsi="Arial" w:cs="Arial"/>
                <w:sz w:val="22"/>
                <w:szCs w:val="22"/>
              </w:rPr>
            </w:pPr>
            <w:r w:rsidRPr="00BF4674">
              <w:rPr>
                <w:rFonts w:ascii="Arial" w:hAnsi="Arial" w:cs="Arial"/>
                <w:sz w:val="22"/>
                <w:szCs w:val="22"/>
              </w:rPr>
              <w:t xml:space="preserve">Through the strategic map with key performance indicators as well as PDCA management, most citizen have feelings on the difference. Many features have been </w:t>
            </w:r>
            <w:proofErr w:type="spellStart"/>
            <w:r w:rsidRPr="00BF4674">
              <w:rPr>
                <w:rFonts w:ascii="Arial" w:hAnsi="Arial" w:cs="Arial"/>
                <w:sz w:val="22"/>
                <w:szCs w:val="22"/>
              </w:rPr>
              <w:t>labeled</w:t>
            </w:r>
            <w:proofErr w:type="spellEnd"/>
            <w:r w:rsidRPr="00BF4674">
              <w:rPr>
                <w:rFonts w:ascii="Arial" w:hAnsi="Arial" w:cs="Arial"/>
                <w:sz w:val="22"/>
                <w:szCs w:val="22"/>
              </w:rPr>
              <w:t xml:space="preserve">, such as Vegetable Garden City, Sponge City, Most Sustainable City, Age-friendly City </w:t>
            </w:r>
            <w:proofErr w:type="gramStart"/>
            <w:r w:rsidRPr="00BF4674">
              <w:rPr>
                <w:rFonts w:ascii="Arial" w:hAnsi="Arial" w:cs="Arial"/>
                <w:sz w:val="22"/>
                <w:szCs w:val="22"/>
              </w:rPr>
              <w:t>etc,.</w:t>
            </w:r>
            <w:proofErr w:type="gramEnd"/>
            <w:r w:rsidRPr="00BF4674">
              <w:rPr>
                <w:rFonts w:ascii="Arial" w:hAnsi="Arial" w:cs="Arial"/>
                <w:sz w:val="22"/>
                <w:szCs w:val="22"/>
              </w:rPr>
              <w:t xml:space="preserve"> In addition, Taipei City have won many </w:t>
            </w:r>
            <w:proofErr w:type="gramStart"/>
            <w:r w:rsidRPr="00BF4674">
              <w:rPr>
                <w:rFonts w:ascii="Arial" w:hAnsi="Arial" w:cs="Arial"/>
                <w:sz w:val="22"/>
                <w:szCs w:val="22"/>
              </w:rPr>
              <w:t>award</w:t>
            </w:r>
            <w:proofErr w:type="gramEnd"/>
            <w:r w:rsidRPr="00BF4674">
              <w:rPr>
                <w:rFonts w:ascii="Arial" w:hAnsi="Arial" w:cs="Arial"/>
                <w:sz w:val="22"/>
                <w:szCs w:val="22"/>
              </w:rPr>
              <w:t>.</w:t>
            </w:r>
          </w:p>
          <w:p w14:paraId="706C613A" w14:textId="77777777" w:rsidR="00BF4674" w:rsidRPr="00BF4674" w:rsidRDefault="00BF4674" w:rsidP="00BF4674">
            <w:pPr>
              <w:jc w:val="both"/>
              <w:rPr>
                <w:rFonts w:ascii="Arial" w:hAnsi="Arial" w:cs="Arial"/>
                <w:sz w:val="22"/>
                <w:szCs w:val="22"/>
              </w:rPr>
            </w:pPr>
          </w:p>
          <w:p w14:paraId="08DAF3E5" w14:textId="77777777" w:rsidR="00BF4674" w:rsidRPr="00BF4674" w:rsidRDefault="00BF4674" w:rsidP="00BF4674">
            <w:pPr>
              <w:jc w:val="both"/>
              <w:rPr>
                <w:rFonts w:ascii="Arial" w:hAnsi="Arial" w:cs="Arial"/>
                <w:b/>
                <w:sz w:val="22"/>
                <w:szCs w:val="22"/>
              </w:rPr>
            </w:pPr>
            <w:r w:rsidRPr="00BF4674">
              <w:rPr>
                <w:rFonts w:ascii="Arial" w:hAnsi="Arial" w:cs="Arial"/>
                <w:b/>
                <w:sz w:val="22"/>
                <w:szCs w:val="22"/>
              </w:rPr>
              <w:t>Implications</w:t>
            </w:r>
          </w:p>
          <w:p w14:paraId="52CB5B8D" w14:textId="77777777" w:rsidR="00BF4674" w:rsidRPr="00BF4674" w:rsidRDefault="00BF4674" w:rsidP="00BF4674">
            <w:pPr>
              <w:jc w:val="both"/>
              <w:rPr>
                <w:rFonts w:ascii="Arial" w:hAnsi="Arial" w:cs="Arial"/>
                <w:sz w:val="22"/>
                <w:szCs w:val="22"/>
              </w:rPr>
            </w:pPr>
            <w:r w:rsidRPr="00BF4674">
              <w:rPr>
                <w:rFonts w:ascii="Arial" w:hAnsi="Arial" w:cs="Arial"/>
                <w:sz w:val="22"/>
                <w:szCs w:val="22"/>
              </w:rPr>
              <w:t xml:space="preserve">The key to success </w:t>
            </w:r>
            <w:proofErr w:type="gramStart"/>
            <w:r w:rsidRPr="00BF4674">
              <w:rPr>
                <w:rFonts w:ascii="Arial" w:hAnsi="Arial" w:cs="Arial"/>
                <w:sz w:val="22"/>
                <w:szCs w:val="22"/>
              </w:rPr>
              <w:t>encompass</w:t>
            </w:r>
            <w:proofErr w:type="gramEnd"/>
            <w:r w:rsidRPr="00BF4674">
              <w:rPr>
                <w:rFonts w:ascii="Arial" w:hAnsi="Arial" w:cs="Arial"/>
                <w:sz w:val="22"/>
                <w:szCs w:val="22"/>
              </w:rPr>
              <w:t xml:space="preserve"> bureaucracy commitment and participation, integrated structure, application of balance score card, sustainable action plan, top-down and bottom-up implementation, cross-sectorial cooperation, continuous supervision and feedback mechanism, innovative and administrative feasible ideas, and finally, expanding sharing activities to every sector.</w:t>
            </w:r>
          </w:p>
          <w:p w14:paraId="5E841560" w14:textId="77777777" w:rsidR="00BF4674" w:rsidRPr="00BF4674" w:rsidRDefault="00BF4674" w:rsidP="00BF4674">
            <w:pPr>
              <w:jc w:val="both"/>
              <w:rPr>
                <w:rFonts w:ascii="Arial" w:hAnsi="Arial" w:cs="Arial"/>
                <w:sz w:val="22"/>
                <w:szCs w:val="22"/>
              </w:rPr>
            </w:pPr>
          </w:p>
          <w:p w14:paraId="0C34E5F6" w14:textId="77777777" w:rsidR="00BF4674" w:rsidRPr="00BF4674" w:rsidRDefault="00BF4674" w:rsidP="00BF4674">
            <w:pPr>
              <w:jc w:val="both"/>
              <w:rPr>
                <w:rFonts w:ascii="Arial" w:hAnsi="Arial" w:cs="Arial"/>
                <w:b/>
                <w:sz w:val="22"/>
                <w:szCs w:val="22"/>
              </w:rPr>
            </w:pPr>
            <w:r w:rsidRPr="00BF4674">
              <w:rPr>
                <w:rFonts w:ascii="Arial" w:hAnsi="Arial" w:cs="Arial"/>
                <w:b/>
                <w:sz w:val="22"/>
                <w:szCs w:val="22"/>
              </w:rPr>
              <w:t>Preferred presentation format</w:t>
            </w:r>
          </w:p>
          <w:p w14:paraId="6466B8ED" w14:textId="77777777" w:rsidR="00BF4674" w:rsidRPr="00BF4674" w:rsidRDefault="00BF4674" w:rsidP="00BF4674">
            <w:pPr>
              <w:jc w:val="both"/>
              <w:rPr>
                <w:rFonts w:ascii="Arial" w:hAnsi="Arial" w:cs="Arial"/>
                <w:sz w:val="22"/>
                <w:szCs w:val="22"/>
              </w:rPr>
            </w:pPr>
            <w:r w:rsidRPr="00BF4674">
              <w:rPr>
                <w:rFonts w:ascii="Arial" w:hAnsi="Arial" w:cs="Arial"/>
                <w:sz w:val="22"/>
                <w:szCs w:val="22"/>
              </w:rPr>
              <w:t>Oral Presentation</w:t>
            </w:r>
          </w:p>
          <w:p w14:paraId="5A4DE25F" w14:textId="77777777" w:rsidR="00DA7A71" w:rsidRPr="00BF4674" w:rsidRDefault="00DA7A71" w:rsidP="00E36AD7">
            <w:pPr>
              <w:jc w:val="both"/>
              <w:rPr>
                <w:rFonts w:ascii="Arial" w:hAnsi="Arial" w:cs="Arial"/>
                <w:b/>
                <w:sz w:val="22"/>
                <w:szCs w:val="22"/>
              </w:rPr>
            </w:pPr>
          </w:p>
          <w:p w14:paraId="5A4DE260" w14:textId="77777777" w:rsidR="00DA7A71" w:rsidRPr="00BF4674" w:rsidRDefault="00DA7A71" w:rsidP="00E36AD7">
            <w:pPr>
              <w:jc w:val="both"/>
              <w:rPr>
                <w:rFonts w:ascii="Arial" w:hAnsi="Arial" w:cs="Arial"/>
                <w:b/>
                <w:sz w:val="22"/>
                <w:szCs w:val="22"/>
              </w:rPr>
            </w:pPr>
          </w:p>
          <w:p w14:paraId="5A4DE261" w14:textId="77777777" w:rsidR="00DA7A71" w:rsidRPr="00BF4674" w:rsidRDefault="00DA7A71" w:rsidP="00E36AD7">
            <w:pPr>
              <w:jc w:val="both"/>
              <w:rPr>
                <w:rFonts w:ascii="Arial" w:hAnsi="Arial" w:cs="Arial"/>
                <w:b/>
                <w:sz w:val="22"/>
                <w:szCs w:val="22"/>
              </w:rPr>
            </w:pPr>
          </w:p>
          <w:p w14:paraId="5A4DE262" w14:textId="76239C87" w:rsidR="00DA7A71" w:rsidRPr="00BF4674" w:rsidRDefault="00DA7A71" w:rsidP="00E36AD7">
            <w:pPr>
              <w:jc w:val="both"/>
              <w:rPr>
                <w:rFonts w:ascii="Arial" w:hAnsi="Arial" w:cs="Arial"/>
                <w:b/>
                <w:sz w:val="22"/>
                <w:szCs w:val="22"/>
              </w:rPr>
            </w:pPr>
          </w:p>
          <w:p w14:paraId="5A4DE263" w14:textId="3A181901" w:rsidR="00DA7A71" w:rsidRPr="00BF4674" w:rsidRDefault="00DA7A71" w:rsidP="00E36AD7">
            <w:pPr>
              <w:jc w:val="both"/>
              <w:rPr>
                <w:rFonts w:ascii="Arial" w:hAnsi="Arial" w:cs="Arial"/>
                <w:bCs/>
                <w:sz w:val="22"/>
                <w:szCs w:val="22"/>
              </w:rPr>
            </w:pPr>
          </w:p>
        </w:tc>
      </w:tr>
    </w:tbl>
    <w:p w14:paraId="5A4DE265" w14:textId="4C2C1C75" w:rsidR="00490208" w:rsidRPr="00BF4674" w:rsidRDefault="00490208" w:rsidP="004C45A1">
      <w:pPr>
        <w:rPr>
          <w:rFonts w:ascii="Arial" w:hAnsi="Arial" w:cs="Arial"/>
          <w:sz w:val="22"/>
          <w:szCs w:val="22"/>
        </w:rPr>
      </w:pPr>
    </w:p>
    <w:sectPr w:rsidR="00490208" w:rsidRPr="00BF46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BF4674"/>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D598D-71C9-418D-A1F4-82ED132F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http://www.w3.org/XML/1998/namespace"/>
    <ds:schemaRef ds:uri="9c8a2b7b-0bee-4c48-b0a6-23db8982d3bc"/>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2018-09-15T04:57:00Z</dcterms:created>
  <dcterms:modified xsi:type="dcterms:W3CDTF">2018-09-15T04:57:00Z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