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BBCF" w14:textId="77777777" w:rsidR="000C3F25" w:rsidRPr="00E31283" w:rsidRDefault="000C3F25" w:rsidP="00E31283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E31283">
        <w:rPr>
          <w:rFonts w:ascii="Arial" w:hAnsi="Arial" w:cs="Arial"/>
          <w:b/>
          <w:bCs/>
          <w:sz w:val="22"/>
          <w:szCs w:val="22"/>
        </w:rPr>
        <w:t>Effectiveness of Intermittent Real-Time Continuous Glucose Monitoring on Glycemic and Psychological Outcomes in People with Type 1 Diabetes</w:t>
      </w:r>
    </w:p>
    <w:p w14:paraId="1E17B114" w14:textId="77777777" w:rsidR="000C3F25" w:rsidRPr="00E31283" w:rsidRDefault="000C3F25" w:rsidP="00E31283">
      <w:pPr>
        <w:spacing w:line="240" w:lineRule="auto"/>
        <w:rPr>
          <w:rFonts w:ascii="Arial" w:hAnsi="Arial" w:cs="Arial"/>
          <w:sz w:val="22"/>
          <w:szCs w:val="22"/>
        </w:rPr>
      </w:pPr>
    </w:p>
    <w:p w14:paraId="5C534588" w14:textId="1447B5D7" w:rsidR="000C3F25" w:rsidRPr="00E31283" w:rsidRDefault="000C3F25" w:rsidP="00E31283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E31283">
        <w:rPr>
          <w:rFonts w:ascii="Arial" w:hAnsi="Arial" w:cs="Arial"/>
          <w:b/>
          <w:bCs/>
          <w:sz w:val="22"/>
          <w:szCs w:val="22"/>
        </w:rPr>
        <w:t>Objectives</w:t>
      </w:r>
    </w:p>
    <w:p w14:paraId="019F50E5" w14:textId="77777777" w:rsidR="000C3F25" w:rsidRPr="00E31283" w:rsidRDefault="000C3F25" w:rsidP="00E31283">
      <w:pPr>
        <w:spacing w:line="240" w:lineRule="auto"/>
        <w:rPr>
          <w:rFonts w:ascii="Arial" w:hAnsi="Arial" w:cs="Arial"/>
          <w:sz w:val="22"/>
          <w:szCs w:val="22"/>
        </w:rPr>
      </w:pPr>
      <w:r w:rsidRPr="00E31283">
        <w:rPr>
          <w:rFonts w:ascii="Arial" w:hAnsi="Arial" w:cs="Arial"/>
          <w:sz w:val="22"/>
          <w:szCs w:val="22"/>
        </w:rPr>
        <w:t>To evaluate the effectiveness of intermittent real-time continuous glucose monitoring (rt-CGM) combined with structured hypoglycemia problem-solving education on glycemic control and psychological outcomes in people with type 1 diabetes mellitus (T1DM).</w:t>
      </w:r>
    </w:p>
    <w:p w14:paraId="0A409291" w14:textId="77777777" w:rsidR="000C3F25" w:rsidRPr="00E31283" w:rsidRDefault="000C3F25" w:rsidP="00E31283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E31283">
        <w:rPr>
          <w:rFonts w:ascii="Arial" w:hAnsi="Arial" w:cs="Arial"/>
          <w:b/>
          <w:bCs/>
          <w:sz w:val="22"/>
          <w:szCs w:val="22"/>
        </w:rPr>
        <w:t>Methods</w:t>
      </w:r>
    </w:p>
    <w:p w14:paraId="371ADC39" w14:textId="4D31BD64" w:rsidR="000C3F25" w:rsidRPr="00E31283" w:rsidRDefault="000C3F25" w:rsidP="00E31283">
      <w:pPr>
        <w:spacing w:line="240" w:lineRule="auto"/>
        <w:rPr>
          <w:rFonts w:ascii="Arial" w:hAnsi="Arial" w:cs="Arial"/>
          <w:sz w:val="22"/>
          <w:szCs w:val="22"/>
        </w:rPr>
      </w:pPr>
      <w:r w:rsidRPr="00E31283">
        <w:rPr>
          <w:rFonts w:ascii="Arial" w:hAnsi="Arial" w:cs="Arial"/>
          <w:sz w:val="22"/>
          <w:szCs w:val="22"/>
        </w:rPr>
        <w:t>A quasi-experimental design with purposive sampling was applied. Participants were people with T1DM from a regional hospital who had never used continuous glucose monitoring. Thirty-three patients were enrolled, and 27 completed two rounds of rt-CGM follow-up. The intervention was delivered by an interdisciplinary team and included structured hypoglycemia problem-solving education and telecare support. rt-CGM was applied at baseline and after the educational intervention. Outcomes were assessed at baseline, 3 months, and 6 months, including glycated hemoglobin (HbA1c), fasting plasma glucose (FPG), and ambulatory glucose profile (AGP) metrics: time in range (TIR, 70–180 mg/dL), time below range (TBR</w:t>
      </w:r>
      <w:r w:rsidR="00BB24C7" w:rsidRPr="00E31283">
        <w:rPr>
          <w:rFonts w:ascii="Arial" w:hAnsi="Arial" w:cs="Arial"/>
          <w:sz w:val="22"/>
          <w:szCs w:val="22"/>
        </w:rPr>
        <w:t>1,</w:t>
      </w:r>
      <w:r w:rsidRPr="00E31283">
        <w:rPr>
          <w:rFonts w:ascii="Arial" w:hAnsi="Arial" w:cs="Arial"/>
          <w:sz w:val="22"/>
          <w:szCs w:val="22"/>
        </w:rPr>
        <w:t xml:space="preserve">54–70 mg/dL and </w:t>
      </w:r>
      <w:r w:rsidR="00BB24C7" w:rsidRPr="00E31283">
        <w:rPr>
          <w:rFonts w:ascii="Arial" w:hAnsi="Arial" w:cs="Arial"/>
          <w:sz w:val="22"/>
          <w:szCs w:val="22"/>
        </w:rPr>
        <w:t>TBR2,</w:t>
      </w:r>
      <w:r w:rsidRPr="00E31283">
        <w:rPr>
          <w:rFonts w:ascii="Arial" w:hAnsi="Arial" w:cs="Arial"/>
          <w:sz w:val="22"/>
          <w:szCs w:val="22"/>
        </w:rPr>
        <w:t>&lt;54 mg/dL), and time above range (TAR</w:t>
      </w:r>
      <w:r w:rsidR="00BB24C7" w:rsidRPr="00E31283">
        <w:rPr>
          <w:rFonts w:ascii="Arial" w:hAnsi="Arial" w:cs="Arial"/>
          <w:sz w:val="22"/>
          <w:szCs w:val="22"/>
        </w:rPr>
        <w:t>1,</w:t>
      </w:r>
      <w:r w:rsidRPr="00E31283">
        <w:rPr>
          <w:rFonts w:ascii="Arial" w:hAnsi="Arial" w:cs="Arial"/>
          <w:sz w:val="22"/>
          <w:szCs w:val="22"/>
        </w:rPr>
        <w:t xml:space="preserve"> 180–250 mg/dL and </w:t>
      </w:r>
      <w:r w:rsidR="00BB24C7" w:rsidRPr="00E31283">
        <w:rPr>
          <w:rFonts w:ascii="Arial" w:hAnsi="Arial" w:cs="Arial"/>
          <w:sz w:val="22"/>
          <w:szCs w:val="22"/>
        </w:rPr>
        <w:t xml:space="preserve">TAR2, </w:t>
      </w:r>
      <w:r w:rsidRPr="00E31283">
        <w:rPr>
          <w:rFonts w:ascii="Arial" w:hAnsi="Arial" w:cs="Arial"/>
          <w:sz w:val="22"/>
          <w:szCs w:val="22"/>
        </w:rPr>
        <w:t>&gt;250 mg/dL). Hypoglycemia problem-solving ability and diabetes distress were also evaluated.</w:t>
      </w:r>
    </w:p>
    <w:p w14:paraId="1C7F4CCD" w14:textId="77777777" w:rsidR="000C3F25" w:rsidRPr="00E31283" w:rsidRDefault="000C3F25" w:rsidP="00E31283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E31283">
        <w:rPr>
          <w:rFonts w:ascii="Arial" w:hAnsi="Arial" w:cs="Arial"/>
          <w:b/>
          <w:bCs/>
          <w:sz w:val="22"/>
          <w:szCs w:val="22"/>
        </w:rPr>
        <w:t>Results</w:t>
      </w:r>
    </w:p>
    <w:p w14:paraId="7EF57842" w14:textId="5800CC9D" w:rsidR="000C3F25" w:rsidRPr="00E31283" w:rsidRDefault="000C3F25" w:rsidP="00E31283">
      <w:pPr>
        <w:spacing w:line="240" w:lineRule="auto"/>
        <w:rPr>
          <w:rFonts w:ascii="Arial" w:hAnsi="Arial" w:cs="Arial"/>
          <w:sz w:val="22"/>
          <w:szCs w:val="22"/>
        </w:rPr>
      </w:pPr>
      <w:r w:rsidRPr="00E31283">
        <w:rPr>
          <w:rFonts w:ascii="Arial" w:hAnsi="Arial" w:cs="Arial"/>
          <w:sz w:val="22"/>
          <w:szCs w:val="22"/>
        </w:rPr>
        <w:t>HbA1c significantly improved at both 3 and 6 months after the intervention (p = 0.0287; p = 0.0033). The second rt-CGM assessment demonstrated a significant increase in TIR (p = 0.00</w:t>
      </w:r>
      <w:r w:rsidR="00BB24C7" w:rsidRPr="00E31283">
        <w:rPr>
          <w:rFonts w:ascii="Arial" w:hAnsi="Arial" w:cs="Arial"/>
          <w:sz w:val="22"/>
          <w:szCs w:val="22"/>
        </w:rPr>
        <w:t>8</w:t>
      </w:r>
      <w:r w:rsidRPr="00E31283">
        <w:rPr>
          <w:rFonts w:ascii="Arial" w:hAnsi="Arial" w:cs="Arial"/>
          <w:sz w:val="22"/>
          <w:szCs w:val="22"/>
        </w:rPr>
        <w:t>), while TAR</w:t>
      </w:r>
      <w:r w:rsidR="00BB24C7" w:rsidRPr="00E31283">
        <w:rPr>
          <w:rFonts w:ascii="Arial" w:hAnsi="Arial" w:cs="Arial"/>
          <w:sz w:val="22"/>
          <w:szCs w:val="22"/>
        </w:rPr>
        <w:t>1 and TBR1</w:t>
      </w:r>
      <w:r w:rsidRPr="00E31283">
        <w:rPr>
          <w:rFonts w:ascii="Arial" w:hAnsi="Arial" w:cs="Arial"/>
          <w:sz w:val="22"/>
          <w:szCs w:val="22"/>
        </w:rPr>
        <w:t xml:space="preserve"> decreased significantly across all phases (p &lt; 0.05). No emergency department visits or hospitalizations occurred during the study period. In addition, participants showed significant improvements in hypoglycemia problem-solving ability (p = 0.027) and significant reductions in diabetes-related psychological distress (p = 0.019).</w:t>
      </w:r>
    </w:p>
    <w:p w14:paraId="2A138433" w14:textId="77777777" w:rsidR="000C3F25" w:rsidRPr="00E31283" w:rsidRDefault="000C3F25" w:rsidP="00E31283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E31283">
        <w:rPr>
          <w:rFonts w:ascii="Arial" w:hAnsi="Arial" w:cs="Arial"/>
          <w:b/>
          <w:bCs/>
          <w:sz w:val="22"/>
          <w:szCs w:val="22"/>
        </w:rPr>
        <w:t>Conclusions</w:t>
      </w:r>
    </w:p>
    <w:p w14:paraId="0221F2FE" w14:textId="7FE851DD" w:rsidR="000C3F25" w:rsidRPr="00E31283" w:rsidRDefault="000C3F25" w:rsidP="00E31283">
      <w:pPr>
        <w:spacing w:line="240" w:lineRule="auto"/>
        <w:rPr>
          <w:rFonts w:ascii="Arial" w:hAnsi="Arial" w:cs="Arial"/>
          <w:sz w:val="22"/>
          <w:szCs w:val="22"/>
        </w:rPr>
      </w:pPr>
      <w:r w:rsidRPr="00E31283">
        <w:rPr>
          <w:rFonts w:ascii="Arial" w:hAnsi="Arial" w:cs="Arial"/>
          <w:sz w:val="22"/>
          <w:szCs w:val="22"/>
        </w:rPr>
        <w:t xml:space="preserve">Intermittent application of rt-CGM combined with structured education can improve glycemic control and enhance T1DM ability to interpret glucose data and manage hypoglycemia. </w:t>
      </w:r>
    </w:p>
    <w:sectPr w:rsidR="000C3F25" w:rsidRPr="00E31283" w:rsidSect="000C3F2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25"/>
    <w:rsid w:val="000C3F25"/>
    <w:rsid w:val="00347ECF"/>
    <w:rsid w:val="005B4CD7"/>
    <w:rsid w:val="0064412A"/>
    <w:rsid w:val="00847427"/>
    <w:rsid w:val="00BB24C7"/>
    <w:rsid w:val="00DC054F"/>
    <w:rsid w:val="00E3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B60C"/>
  <w15:chartTrackingRefBased/>
  <w15:docId w15:val="{18A5ECDE-F7F1-4E93-9941-9EF96FDF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3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F2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F2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F2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F2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F2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F2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F2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F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F25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F25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F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F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F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F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7C3C7A-B1B6-49A0-AD57-3B2FA0F8A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0DE40-5ED7-4B04-A5B9-D6D548854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CCCCE-9930-4A42-B9BB-84A8FD8890E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 桂春</dc:creator>
  <cp:keywords/>
  <dc:description/>
  <cp:lastModifiedBy>Tanya Yandall</cp:lastModifiedBy>
  <cp:revision>3</cp:revision>
  <dcterms:created xsi:type="dcterms:W3CDTF">2026-03-23T22:41:00Z</dcterms:created>
  <dcterms:modified xsi:type="dcterms:W3CDTF">2026-03-23T22:42:00Z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