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3BE1" w14:textId="1ED2D544" w:rsidR="00C8423A" w:rsidRDefault="00C8423A" w:rsidP="000B7EE1">
      <w:pPr>
        <w:tabs>
          <w:tab w:val="left" w:pos="8931"/>
        </w:tabs>
      </w:pPr>
    </w:p>
    <w:p w14:paraId="254D49DC" w14:textId="77777777" w:rsidR="000B7EE1" w:rsidRPr="000B7EE1" w:rsidRDefault="000B7EE1" w:rsidP="000B7EE1">
      <w:pPr>
        <w:pStyle w:val="whitespace-pre-wrap"/>
        <w:spacing w:before="0" w:beforeAutospacing="0" w:after="0" w:afterAutospacing="0"/>
        <w:rPr>
          <w:rStyle w:val="Strong"/>
          <w:b w:val="0"/>
          <w:bCs w:val="0"/>
          <w:i/>
          <w:iCs/>
        </w:rPr>
      </w:pPr>
      <w:r w:rsidRPr="000B7EE1">
        <w:rPr>
          <w:rStyle w:val="Strong"/>
          <w:b w:val="0"/>
          <w:bCs w:val="0"/>
          <w:i/>
          <w:iCs/>
        </w:rPr>
        <w:t>Paper</w:t>
      </w:r>
    </w:p>
    <w:p w14:paraId="1D5C9301" w14:textId="61FBA1A1" w:rsidR="00E243A6" w:rsidRDefault="007B3F67" w:rsidP="000B7EE1">
      <w:pPr>
        <w:pStyle w:val="whitespace-pre-wrap"/>
        <w:spacing w:before="0" w:beforeAutospacing="0" w:after="0" w:afterAutospacing="0"/>
        <w:rPr>
          <w:rStyle w:val="SubtitleChar"/>
        </w:rPr>
      </w:pPr>
      <w:r w:rsidRPr="00673CDF">
        <w:rPr>
          <w:b/>
          <w:bCs/>
        </w:rPr>
        <w:t>Mind the gap – the difference between theory and practice in adaptation</w:t>
      </w:r>
      <w:r>
        <w:rPr>
          <w:rStyle w:val="SubtitleChar"/>
        </w:rPr>
        <w:t xml:space="preserve"> </w:t>
      </w:r>
    </w:p>
    <w:p w14:paraId="1E9966EE" w14:textId="77777777" w:rsidR="000B7EE1" w:rsidRDefault="000B7EE1" w:rsidP="000B7EE1">
      <w:pPr>
        <w:pStyle w:val="whitespace-pre-wrap"/>
        <w:spacing w:before="0" w:beforeAutospacing="0" w:after="0" w:afterAutospacing="0"/>
      </w:pPr>
    </w:p>
    <w:p w14:paraId="03804963" w14:textId="77777777" w:rsidR="00E243A6" w:rsidRDefault="00E243A6" w:rsidP="00E243A6">
      <w:pPr>
        <w:pStyle w:val="whitespace-pre-wrap"/>
      </w:pPr>
      <w:r>
        <w:rPr>
          <w:rStyle w:val="Strong"/>
        </w:rPr>
        <w:t>Introduction</w:t>
      </w:r>
      <w:r>
        <w:t xml:space="preserve"> The Buller District on New Zealand's South Island stands at the forefront of climate change impacts, experiencing significant climate-related hazards that demand immediate attention and action. In 2021, the Buller District Council launched a comprehensive climate change adaptation planning programme, bringing together a diverse coalition of experts from academia, consulting, and local government sectors. This collaborative initiative aimed to deliver an integrated approach that combined rigorous geospatial risk assessment with </w:t>
      </w:r>
      <w:proofErr w:type="gramStart"/>
      <w:r>
        <w:t>locally-tailored</w:t>
      </w:r>
      <w:proofErr w:type="gramEnd"/>
      <w:r>
        <w:t xml:space="preserve"> adaptation plans, all developed through extensive community engagement.</w:t>
      </w:r>
    </w:p>
    <w:p w14:paraId="6B8BFB08" w14:textId="77777777" w:rsidR="00E243A6" w:rsidRDefault="00E243A6" w:rsidP="00E243A6">
      <w:pPr>
        <w:pStyle w:val="whitespace-pre-wrap"/>
      </w:pPr>
      <w:r>
        <w:rPr>
          <w:rStyle w:val="Strong"/>
        </w:rPr>
        <w:t>Objectives</w:t>
      </w:r>
    </w:p>
    <w:p w14:paraId="742A5837" w14:textId="77777777" w:rsidR="00E243A6" w:rsidRDefault="00E243A6" w:rsidP="00E243A6">
      <w:pPr>
        <w:pStyle w:val="whitespace-normal"/>
        <w:numPr>
          <w:ilvl w:val="0"/>
          <w:numId w:val="4"/>
        </w:numPr>
      </w:pPr>
      <w:r>
        <w:t>To critically examine the implementation challenges of translating theoretical adaptation frameworks into practical community-level action</w:t>
      </w:r>
    </w:p>
    <w:p w14:paraId="17872EFE" w14:textId="77777777" w:rsidR="00E243A6" w:rsidRDefault="00E243A6" w:rsidP="00E243A6">
      <w:pPr>
        <w:pStyle w:val="whitespace-normal"/>
        <w:numPr>
          <w:ilvl w:val="0"/>
          <w:numId w:val="4"/>
        </w:numPr>
      </w:pPr>
      <w:r>
        <w:t xml:space="preserve">To identify and </w:t>
      </w:r>
      <w:proofErr w:type="spellStart"/>
      <w:r>
        <w:t>analyze</w:t>
      </w:r>
      <w:proofErr w:type="spellEnd"/>
      <w:r>
        <w:t xml:space="preserve"> key structural barriers encountered in implementing best practice principles across diverse communities</w:t>
      </w:r>
    </w:p>
    <w:p w14:paraId="3822873D" w14:textId="77777777" w:rsidR="00E243A6" w:rsidRDefault="00E243A6" w:rsidP="00E243A6">
      <w:pPr>
        <w:pStyle w:val="whitespace-normal"/>
        <w:numPr>
          <w:ilvl w:val="0"/>
          <w:numId w:val="4"/>
        </w:numPr>
      </w:pPr>
      <w:r>
        <w:t>To provide actionable insights for improving the alignment between adaptation theory and practice in resource-constrained contexts</w:t>
      </w:r>
    </w:p>
    <w:p w14:paraId="1FAAF525" w14:textId="77777777" w:rsidR="00E243A6" w:rsidRDefault="00E243A6" w:rsidP="00E243A6">
      <w:pPr>
        <w:pStyle w:val="whitespace-pre-wrap"/>
      </w:pPr>
      <w:r>
        <w:rPr>
          <w:rStyle w:val="Strong"/>
        </w:rPr>
        <w:t>Methodology</w:t>
      </w:r>
      <w:r>
        <w:t xml:space="preserve"> Our study employs a critical reflection methodology, deliberately moving beyond traditional success narratives to examine the practical challenges of implementation. The analysis draws on documented experiences from the Buller District's adaptation planning programme, incorporating insights from multiple stakeholders including academic partners, consultants, local government officials, and community participants. This approach enables a comprehensive examination of the gaps between theoretical frameworks and practical implementation.</w:t>
      </w:r>
    </w:p>
    <w:p w14:paraId="7C8B58F1" w14:textId="77777777" w:rsidR="00E243A6" w:rsidRDefault="00E243A6" w:rsidP="00E243A6">
      <w:pPr>
        <w:pStyle w:val="whitespace-pre-wrap"/>
      </w:pPr>
      <w:r>
        <w:rPr>
          <w:rStyle w:val="Strong"/>
        </w:rPr>
        <w:t>Findings</w:t>
      </w:r>
      <w:r>
        <w:t xml:space="preserve"> Our analysis reveals three critical areas requiring urgent attention:</w:t>
      </w:r>
    </w:p>
    <w:p w14:paraId="08E000DA" w14:textId="77777777" w:rsidR="00E243A6" w:rsidRDefault="00E243A6" w:rsidP="00E243A6">
      <w:pPr>
        <w:pStyle w:val="whitespace-normal"/>
        <w:numPr>
          <w:ilvl w:val="0"/>
          <w:numId w:val="5"/>
        </w:numPr>
      </w:pPr>
      <w:r>
        <w:t>Research-Practice Integration: Current research frameworks often fail to adequately account for on-the-ground implementation challenges, creating a disconnect between theoretical best practices and practical realities.</w:t>
      </w:r>
    </w:p>
    <w:p w14:paraId="148D62DF" w14:textId="77777777" w:rsidR="00E243A6" w:rsidRDefault="00E243A6" w:rsidP="00E243A6">
      <w:pPr>
        <w:pStyle w:val="whitespace-normal"/>
        <w:numPr>
          <w:ilvl w:val="0"/>
          <w:numId w:val="5"/>
        </w:numPr>
      </w:pPr>
      <w:r>
        <w:t>Engagement Scalability: Existing community engagement models, while theoretically sound, often prove financially and logistically challenging to implement in smaller, resource-constrained communities.</w:t>
      </w:r>
    </w:p>
    <w:p w14:paraId="0F16B6EB" w14:textId="77777777" w:rsidR="00E243A6" w:rsidRDefault="00E243A6" w:rsidP="00E243A6">
      <w:pPr>
        <w:pStyle w:val="whitespace-normal"/>
        <w:numPr>
          <w:ilvl w:val="0"/>
          <w:numId w:val="5"/>
        </w:numPr>
      </w:pPr>
      <w:r>
        <w:t>Structural Barriers: The study identifies specific institutional and systemic obstacles that hinder effective adaptation planning, particularly in smaller jurisdictions with limited resources.</w:t>
      </w:r>
    </w:p>
    <w:p w14:paraId="757407CB" w14:textId="77777777" w:rsidR="00E243A6" w:rsidRDefault="00E243A6" w:rsidP="00E243A6">
      <w:pPr>
        <w:pStyle w:val="whitespace-pre-wrap"/>
      </w:pPr>
      <w:r>
        <w:rPr>
          <w:rStyle w:val="Strong"/>
        </w:rPr>
        <w:t>Significance of the work for policy and practice</w:t>
      </w:r>
      <w:r>
        <w:t xml:space="preserve"> This case study provides crucial insights for bridging the gap between adaptation theory and practice, particularly valuable for resource-constrained contexts. The findings directly inform:</w:t>
      </w:r>
    </w:p>
    <w:p w14:paraId="7F5C0050" w14:textId="77777777" w:rsidR="00E243A6" w:rsidRDefault="00E243A6" w:rsidP="00E243A6">
      <w:pPr>
        <w:pStyle w:val="whitespace-normal"/>
        <w:numPr>
          <w:ilvl w:val="0"/>
          <w:numId w:val="6"/>
        </w:numPr>
      </w:pPr>
      <w:r>
        <w:lastRenderedPageBreak/>
        <w:t>Research priorities: Highlighting the need for more implementation-focused studies that address practical challenges</w:t>
      </w:r>
    </w:p>
    <w:p w14:paraId="0784E9CA" w14:textId="77777777" w:rsidR="00E243A6" w:rsidRDefault="00E243A6" w:rsidP="00E243A6">
      <w:pPr>
        <w:pStyle w:val="whitespace-normal"/>
        <w:numPr>
          <w:ilvl w:val="0"/>
          <w:numId w:val="6"/>
        </w:numPr>
      </w:pPr>
      <w:r>
        <w:t>Policy development: Identifying specific areas where policy interventions could enable more effective adaptation planning</w:t>
      </w:r>
    </w:p>
    <w:p w14:paraId="11098D14" w14:textId="3F849D39" w:rsidR="00E243A6" w:rsidRDefault="00E243A6" w:rsidP="00E243A6">
      <w:pPr>
        <w:pStyle w:val="whitespace-normal"/>
        <w:numPr>
          <w:ilvl w:val="0"/>
          <w:numId w:val="6"/>
        </w:numPr>
      </w:pPr>
      <w:r>
        <w:t xml:space="preserve">Practice improvements: Offering suggestions for developing more scalable and financially viable engagement processes </w:t>
      </w:r>
      <w:proofErr w:type="gramStart"/>
      <w:r>
        <w:t>The</w:t>
      </w:r>
      <w:proofErr w:type="gramEnd"/>
      <w:r>
        <w:t xml:space="preserve"> work contributes to the growing body of knowledge on practical climate adaptation implementation, particularly relevant for smaller communities facing similar challenges globally.</w:t>
      </w: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8E721B"/>
    <w:multiLevelType w:val="multilevel"/>
    <w:tmpl w:val="6AF2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52944"/>
    <w:multiLevelType w:val="multilevel"/>
    <w:tmpl w:val="A57C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B73B6"/>
    <w:multiLevelType w:val="multilevel"/>
    <w:tmpl w:val="C20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5"/>
  </w:num>
  <w:num w:numId="3" w16cid:durableId="1316374630">
    <w:abstractNumId w:val="1"/>
  </w:num>
  <w:num w:numId="4" w16cid:durableId="1379163913">
    <w:abstractNumId w:val="3"/>
  </w:num>
  <w:num w:numId="5" w16cid:durableId="1840342936">
    <w:abstractNumId w:val="2"/>
  </w:num>
  <w:num w:numId="6" w16cid:durableId="45375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B7EE1"/>
    <w:rsid w:val="00105E39"/>
    <w:rsid w:val="00132AE5"/>
    <w:rsid w:val="00155315"/>
    <w:rsid w:val="00247C60"/>
    <w:rsid w:val="00256963"/>
    <w:rsid w:val="002E3AA3"/>
    <w:rsid w:val="00317356"/>
    <w:rsid w:val="0034503D"/>
    <w:rsid w:val="00354C31"/>
    <w:rsid w:val="00375B20"/>
    <w:rsid w:val="00386D01"/>
    <w:rsid w:val="003F19C2"/>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B3F6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4188B"/>
    <w:rsid w:val="00B026E8"/>
    <w:rsid w:val="00BA0872"/>
    <w:rsid w:val="00BA26BB"/>
    <w:rsid w:val="00BC6810"/>
    <w:rsid w:val="00BE0B4D"/>
    <w:rsid w:val="00BE58D6"/>
    <w:rsid w:val="00C26081"/>
    <w:rsid w:val="00C4126D"/>
    <w:rsid w:val="00C76C99"/>
    <w:rsid w:val="00C8423A"/>
    <w:rsid w:val="00CE53FE"/>
    <w:rsid w:val="00D716AD"/>
    <w:rsid w:val="00D829C6"/>
    <w:rsid w:val="00DB7929"/>
    <w:rsid w:val="00DD1BB3"/>
    <w:rsid w:val="00E243A6"/>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whitespace-pre-wrap">
    <w:name w:val="whitespace-pre-wrap"/>
    <w:basedOn w:val="Normal"/>
    <w:rsid w:val="00E243A6"/>
    <w:pPr>
      <w:spacing w:before="100" w:beforeAutospacing="1" w:after="100" w:afterAutospacing="1"/>
    </w:pPr>
    <w:rPr>
      <w:rFonts w:ascii="Times New Roman" w:eastAsia="Times New Roman" w:hAnsi="Times New Roman" w:cs="Times New Roman"/>
      <w:lang w:val="en-NZ" w:eastAsia="en-NZ"/>
    </w:rPr>
  </w:style>
  <w:style w:type="character" w:styleId="Strong">
    <w:name w:val="Strong"/>
    <w:basedOn w:val="DefaultParagraphFont"/>
    <w:uiPriority w:val="22"/>
    <w:qFormat/>
    <w:rsid w:val="00E243A6"/>
    <w:rPr>
      <w:b/>
      <w:bCs/>
    </w:rPr>
  </w:style>
  <w:style w:type="paragraph" w:customStyle="1" w:styleId="whitespace-normal">
    <w:name w:val="whitespace-normal"/>
    <w:basedOn w:val="Normal"/>
    <w:rsid w:val="00E243A6"/>
    <w:pPr>
      <w:spacing w:before="100" w:beforeAutospacing="1" w:after="100" w:afterAutospacing="1"/>
    </w:pPr>
    <w:rPr>
      <w:rFonts w:ascii="Times New Roman" w:eastAsia="Times New Roman" w:hAnsi="Times New Roman" w:cs="Times New Roman"/>
      <w:lang w:val="en-NZ" w:eastAsia="en-NZ"/>
    </w:rPr>
  </w:style>
  <w:style w:type="paragraph" w:styleId="Subtitle">
    <w:name w:val="Subtitle"/>
    <w:basedOn w:val="Normal"/>
    <w:next w:val="Normal"/>
    <w:link w:val="SubtitleChar"/>
    <w:uiPriority w:val="11"/>
    <w:qFormat/>
    <w:rsid w:val="007B3F67"/>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7B3F67"/>
    <w:rPr>
      <w:rFonts w:eastAsiaTheme="majorEastAsia" w:cstheme="majorBidi"/>
      <w:color w:val="595959" w:themeColor="text1" w:themeTint="A6"/>
      <w:spacing w:val="15"/>
      <w:kern w:val="2"/>
      <w:sz w:val="28"/>
      <w:szCs w:val="28"/>
      <w:lang w:val="en-NZ"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432700496">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E06E3-863E-4D4D-BA34-49B612359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9c8a2b7b-0bee-4c48-b0a6-23db8982d3bc"/>
    <ds:schemaRef ds:uri="http://purl.org/dc/terms/"/>
    <ds:schemaRef ds:uri="http://purl.org/dc/dcmitype/"/>
    <ds:schemaRef ds:uri="http://schemas.microsoft.com/office/2006/metadata/properties"/>
    <ds:schemaRef ds:uri="http://schemas.microsoft.com/office/2006/documentManagement/types"/>
    <ds:schemaRef ds:uri="http://purl.org/dc/elements/1.1/"/>
    <ds:schemaRef ds:uri="cab52c9b-ab33-4221-8af9-54f8f2b86a80"/>
    <ds:schemaRef ds:uri="http://schemas.openxmlformats.org/package/2006/metadata/core-properties"/>
    <ds:schemaRef ds:uri="http://schemas.microsoft.com/office/infopath/2007/PartnerControls"/>
    <ds:schemaRef ds:uri="6911e96c-4cc4-42d5-8e43-f93924cf6a05"/>
    <ds:schemaRef ds:uri="http://www.w3.org/XML/1998/namespac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470</Words>
  <Characters>2679</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2025-02-19T03:44:00Z</dcterms:created>
  <dcterms:modified xsi:type="dcterms:W3CDTF">2025-08-10T19:04:00Z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