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2CA39D0" w14:textId="6ADA8FD1" w:rsidR="006A7C32" w:rsidRPr="00D223D8" w:rsidRDefault="00D223D8" w:rsidP="00D223D8">
            <w:pPr>
              <w:rPr>
                <w:rFonts w:ascii="Arial" w:hAnsi="Arial" w:cs="Arial"/>
                <w:i/>
                <w:iCs/>
                <w:sz w:val="22"/>
                <w:szCs w:val="22"/>
              </w:rPr>
            </w:pPr>
            <w:r w:rsidRPr="00D223D8">
              <w:rPr>
                <w:rFonts w:ascii="Arial" w:hAnsi="Arial" w:cs="Arial"/>
                <w:i/>
                <w:iCs/>
                <w:sz w:val="22"/>
                <w:szCs w:val="22"/>
              </w:rPr>
              <w:t>Paper</w:t>
            </w:r>
          </w:p>
          <w:p w14:paraId="40948DD7" w14:textId="448160CB" w:rsidR="006A7C32" w:rsidRDefault="006B0906" w:rsidP="00D223D8">
            <w:pPr>
              <w:rPr>
                <w:rFonts w:ascii="Arial" w:hAnsi="Arial" w:cs="Arial"/>
                <w:b/>
                <w:bCs/>
                <w:sz w:val="22"/>
                <w:szCs w:val="22"/>
              </w:rPr>
            </w:pPr>
            <w:r w:rsidRPr="006B0906">
              <w:rPr>
                <w:rFonts w:ascii="Arial" w:hAnsi="Arial" w:cs="Arial"/>
                <w:b/>
                <w:bCs/>
                <w:sz w:val="22"/>
                <w:szCs w:val="22"/>
              </w:rPr>
              <w:t>Lessons from Climate</w:t>
            </w:r>
            <w:r>
              <w:rPr>
                <w:rFonts w:ascii="Arial" w:hAnsi="Arial" w:cs="Arial"/>
                <w:b/>
                <w:bCs/>
                <w:sz w:val="22"/>
                <w:szCs w:val="22"/>
              </w:rPr>
              <w:t xml:space="preserve"> </w:t>
            </w:r>
            <w:r w:rsidRPr="006B0906">
              <w:rPr>
                <w:rFonts w:ascii="Arial" w:hAnsi="Arial" w:cs="Arial"/>
                <w:b/>
                <w:bCs/>
                <w:sz w:val="22"/>
                <w:szCs w:val="22"/>
              </w:rPr>
              <w:t xml:space="preserve">Smart Shrimp Implementation in Indonesia: A Case Study in </w:t>
            </w:r>
            <w:proofErr w:type="spellStart"/>
            <w:r w:rsidRPr="006B0906">
              <w:rPr>
                <w:rFonts w:ascii="Arial" w:hAnsi="Arial" w:cs="Arial"/>
                <w:b/>
                <w:bCs/>
                <w:sz w:val="22"/>
                <w:szCs w:val="22"/>
              </w:rPr>
              <w:t>Lalombi</w:t>
            </w:r>
            <w:proofErr w:type="spellEnd"/>
            <w:r w:rsidRPr="006B0906">
              <w:rPr>
                <w:rFonts w:ascii="Arial" w:hAnsi="Arial" w:cs="Arial"/>
                <w:b/>
                <w:bCs/>
                <w:sz w:val="22"/>
                <w:szCs w:val="22"/>
              </w:rPr>
              <w:t xml:space="preserve"> Village, Central Sulawesi</w:t>
            </w:r>
          </w:p>
          <w:p w14:paraId="3F7D1534" w14:textId="77777777" w:rsidR="00C8423A" w:rsidRPr="009C75AE" w:rsidRDefault="00C8423A" w:rsidP="00D223D8">
            <w:pPr>
              <w:rPr>
                <w:rFonts w:ascii="Arial" w:hAnsi="Arial" w:cs="Arial"/>
                <w:b/>
                <w:bCs/>
                <w:sz w:val="22"/>
                <w:szCs w:val="22"/>
              </w:rPr>
            </w:pPr>
          </w:p>
        </w:tc>
      </w:tr>
      <w:tr w:rsidR="00C8423A" w:rsidRPr="0003525D" w14:paraId="1A1C8C63" w14:textId="77777777" w:rsidTr="009F4EA0">
        <w:trPr>
          <w:trHeight w:val="3124"/>
        </w:trPr>
        <w:tc>
          <w:tcPr>
            <w:tcW w:w="8640" w:type="dxa"/>
          </w:tcPr>
          <w:p w14:paraId="45417971" w14:textId="77777777" w:rsidR="00EE5AC7" w:rsidRDefault="00EE5AC7" w:rsidP="00706DED">
            <w:pPr>
              <w:jc w:val="both"/>
              <w:rPr>
                <w:rFonts w:ascii="Arial" w:hAnsi="Arial" w:cs="Arial"/>
                <w:b/>
                <w:sz w:val="22"/>
                <w:szCs w:val="22"/>
              </w:rPr>
            </w:pPr>
          </w:p>
          <w:p w14:paraId="131A5F05" w14:textId="119CBE69"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EB86223" w14:textId="518D12A9" w:rsidR="00EE5AC7" w:rsidRPr="00EE5AC7" w:rsidRDefault="00EE5AC7" w:rsidP="00706DED">
            <w:pPr>
              <w:jc w:val="both"/>
              <w:rPr>
                <w:rFonts w:ascii="Arial" w:hAnsi="Arial" w:cs="Arial"/>
                <w:bCs/>
                <w:sz w:val="22"/>
                <w:szCs w:val="22"/>
              </w:rPr>
            </w:pPr>
            <w:r w:rsidRPr="00EE5AC7">
              <w:rPr>
                <w:rFonts w:ascii="Arial" w:hAnsi="Arial" w:cs="Arial"/>
                <w:bCs/>
                <w:sz w:val="22"/>
                <w:szCs w:val="22"/>
              </w:rPr>
              <w:t xml:space="preserve">The Government of Indonesia has set ambitious targets for increasing shrimp production and restoring mangroves. </w:t>
            </w:r>
            <w:proofErr w:type="gramStart"/>
            <w:r w:rsidRPr="00EE5AC7">
              <w:rPr>
                <w:rFonts w:ascii="Arial" w:hAnsi="Arial" w:cs="Arial"/>
                <w:bCs/>
                <w:sz w:val="22"/>
                <w:szCs w:val="22"/>
              </w:rPr>
              <w:t>Both  targets</w:t>
            </w:r>
            <w:proofErr w:type="gramEnd"/>
            <w:r w:rsidRPr="00EE5AC7">
              <w:rPr>
                <w:rFonts w:ascii="Arial" w:hAnsi="Arial" w:cs="Arial"/>
                <w:bCs/>
                <w:sz w:val="22"/>
                <w:szCs w:val="22"/>
              </w:rPr>
              <w:t xml:space="preserve"> may be achieved simultaneously by intensifying shrimp production combined with obligatory mangrove restoration.</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12D6DC2" w14:textId="57CB37DB" w:rsidR="00EE5AC7" w:rsidRPr="00EE5AC7" w:rsidRDefault="00EE5AC7" w:rsidP="00706DED">
            <w:pPr>
              <w:jc w:val="both"/>
              <w:rPr>
                <w:rFonts w:ascii="Arial" w:hAnsi="Arial" w:cs="Arial"/>
                <w:bCs/>
                <w:sz w:val="22"/>
                <w:szCs w:val="22"/>
              </w:rPr>
            </w:pPr>
            <w:r w:rsidRPr="00EE5AC7">
              <w:rPr>
                <w:rFonts w:ascii="Arial" w:hAnsi="Arial" w:cs="Arial"/>
                <w:bCs/>
                <w:sz w:val="22"/>
                <w:szCs w:val="22"/>
              </w:rPr>
              <w:t xml:space="preserve">To integrate shrimp pond technology and mangrove restoration, we are conducting a project called Climate Smart Shrimp (CSS). This project aims to increase shrimp production sustainably while improving water quality by constructing treatment wetlands and restoring blue carbon ecosystems through mangrove restoration. To achieve the goal of </w:t>
            </w:r>
            <w:proofErr w:type="gramStart"/>
            <w:r w:rsidRPr="00EE5AC7">
              <w:rPr>
                <w:rFonts w:ascii="Arial" w:hAnsi="Arial" w:cs="Arial"/>
                <w:bCs/>
                <w:sz w:val="22"/>
                <w:szCs w:val="22"/>
              </w:rPr>
              <w:t>this  project</w:t>
            </w:r>
            <w:proofErr w:type="gramEnd"/>
            <w:r w:rsidRPr="00EE5AC7">
              <w:rPr>
                <w:rFonts w:ascii="Arial" w:hAnsi="Arial" w:cs="Arial"/>
                <w:bCs/>
                <w:sz w:val="22"/>
                <w:szCs w:val="22"/>
              </w:rPr>
              <w:t xml:space="preserve">, we work with a private sector partner, university researchers, </w:t>
            </w:r>
            <w:proofErr w:type="gramStart"/>
            <w:r w:rsidRPr="00EE5AC7">
              <w:rPr>
                <w:rFonts w:ascii="Arial" w:hAnsi="Arial" w:cs="Arial"/>
                <w:bCs/>
                <w:sz w:val="22"/>
                <w:szCs w:val="22"/>
              </w:rPr>
              <w:t>local  communities</w:t>
            </w:r>
            <w:proofErr w:type="gramEnd"/>
            <w:r w:rsidRPr="00EE5AC7">
              <w:rPr>
                <w:rFonts w:ascii="Arial" w:hAnsi="Arial" w:cs="Arial"/>
                <w:bCs/>
                <w:sz w:val="22"/>
                <w:szCs w:val="22"/>
              </w:rPr>
              <w:t>, and local government to innovate climate-resilient food production and at the same time restore the mangrove ecosystem.</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4876B92" w14:textId="238D7AFB" w:rsidR="00EE5AC7" w:rsidRPr="00EE5AC7" w:rsidRDefault="00EE5AC7" w:rsidP="00706DED">
            <w:pPr>
              <w:jc w:val="both"/>
              <w:rPr>
                <w:rFonts w:ascii="Arial" w:hAnsi="Arial" w:cs="Arial"/>
                <w:bCs/>
                <w:sz w:val="22"/>
                <w:szCs w:val="22"/>
              </w:rPr>
            </w:pPr>
            <w:r w:rsidRPr="00EE5AC7">
              <w:rPr>
                <w:rFonts w:ascii="Arial" w:hAnsi="Arial" w:cs="Arial"/>
                <w:bCs/>
                <w:sz w:val="22"/>
                <w:szCs w:val="22"/>
              </w:rPr>
              <w:t>Climate Smart Shrimp is one of the methods for Nature-based Climate Solution (</w:t>
            </w:r>
            <w:proofErr w:type="spellStart"/>
            <w:r w:rsidRPr="00EE5AC7">
              <w:rPr>
                <w:rFonts w:ascii="Arial" w:hAnsi="Arial" w:cs="Arial"/>
                <w:bCs/>
                <w:sz w:val="22"/>
                <w:szCs w:val="22"/>
              </w:rPr>
              <w:t>NbCS</w:t>
            </w:r>
            <w:proofErr w:type="spellEnd"/>
            <w:r w:rsidRPr="00EE5AC7">
              <w:rPr>
                <w:rFonts w:ascii="Arial" w:hAnsi="Arial" w:cs="Arial"/>
                <w:bCs/>
                <w:sz w:val="22"/>
                <w:szCs w:val="22"/>
              </w:rPr>
              <w:t xml:space="preserve">). It uses a combination of “green" conservation and mangrove restoration efforts that rely on natural processes and ecosystems to address environmental challenges and "grey" engineering techniques to provide greater benefits for both the environment </w:t>
            </w:r>
            <w:proofErr w:type="gramStart"/>
            <w:r w:rsidRPr="00EE5AC7">
              <w:rPr>
                <w:rFonts w:ascii="Arial" w:hAnsi="Arial" w:cs="Arial"/>
                <w:bCs/>
                <w:sz w:val="22"/>
                <w:szCs w:val="22"/>
              </w:rPr>
              <w:t>and  people</w:t>
            </w:r>
            <w:proofErr w:type="gramEnd"/>
            <w:r w:rsidRPr="00EE5AC7">
              <w:rPr>
                <w:rFonts w:ascii="Arial" w:hAnsi="Arial" w:cs="Arial"/>
                <w:bCs/>
                <w:sz w:val="22"/>
                <w:szCs w:val="22"/>
              </w:rPr>
              <w:t>.</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493544A" w14:textId="41320732" w:rsidR="0084260D" w:rsidRPr="0084260D" w:rsidRDefault="0084260D" w:rsidP="00706DED">
            <w:pPr>
              <w:jc w:val="both"/>
              <w:rPr>
                <w:rFonts w:ascii="Arial" w:hAnsi="Arial" w:cs="Arial"/>
                <w:bCs/>
                <w:sz w:val="22"/>
                <w:szCs w:val="22"/>
              </w:rPr>
            </w:pPr>
            <w:r w:rsidRPr="0084260D">
              <w:rPr>
                <w:rFonts w:ascii="Arial" w:hAnsi="Arial" w:cs="Arial"/>
                <w:bCs/>
                <w:sz w:val="22"/>
                <w:szCs w:val="22"/>
              </w:rPr>
              <w:t>During the process of site selection, we surveyed more than 40 locations to identify potential suitable CSS locations in Indonesia. Here, we present a story and lessons from the construction of an intensive shrimp pond (with a stocking density of 170 individuals/m²) on a 6.5-hectare site, an assessment of the biodiversity ecosystem habitat structure, the design and planning of hydrological restoration areas and wastewater treatment systems, and the results of mangrove restoration on a 3.5-hectare area to show a first example of CSS in Indonesia.</w:t>
            </w:r>
          </w:p>
          <w:p w14:paraId="26DC99F1" w14:textId="77777777" w:rsidR="0065012F" w:rsidRDefault="0065012F" w:rsidP="00706DED">
            <w:pPr>
              <w:jc w:val="both"/>
              <w:rPr>
                <w:rFonts w:ascii="Arial" w:hAnsi="Arial" w:cs="Arial"/>
                <w:b/>
                <w:sz w:val="22"/>
                <w:szCs w:val="22"/>
              </w:rPr>
            </w:pPr>
          </w:p>
          <w:p w14:paraId="261EC656" w14:textId="3AF97F01"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ignificance of the work for policy and practice</w:t>
            </w:r>
          </w:p>
          <w:p w14:paraId="1B7B95D6" w14:textId="7EC5FB54" w:rsidR="00B9434F" w:rsidRPr="00B9434F" w:rsidRDefault="00B9434F" w:rsidP="00706DED">
            <w:pPr>
              <w:jc w:val="both"/>
              <w:rPr>
                <w:rFonts w:ascii="Arial" w:hAnsi="Arial" w:cs="Arial"/>
                <w:sz w:val="22"/>
                <w:szCs w:val="22"/>
              </w:rPr>
            </w:pPr>
            <w:r w:rsidRPr="21B84D03">
              <w:rPr>
                <w:rFonts w:ascii="Arial" w:hAnsi="Arial" w:cs="Arial"/>
                <w:sz w:val="22"/>
                <w:szCs w:val="22"/>
              </w:rPr>
              <w:t xml:space="preserve">We hope that the CSS model can inspire </w:t>
            </w:r>
            <w:proofErr w:type="gramStart"/>
            <w:r w:rsidRPr="21B84D03">
              <w:rPr>
                <w:rFonts w:ascii="Arial" w:hAnsi="Arial" w:cs="Arial"/>
                <w:sz w:val="22"/>
                <w:szCs w:val="22"/>
              </w:rPr>
              <w:t>sustainable  improvement</w:t>
            </w:r>
            <w:proofErr w:type="gramEnd"/>
            <w:r w:rsidRPr="21B84D03">
              <w:rPr>
                <w:rFonts w:ascii="Arial" w:hAnsi="Arial" w:cs="Arial"/>
                <w:sz w:val="22"/>
                <w:szCs w:val="22"/>
              </w:rPr>
              <w:t xml:space="preserve"> of shrimp ponds for a wider audience. What was once thought as the cause of mangrove land conversion can adopt a concept of nature-based solutions, where mangroves act as biofilters of pond water effluents. We also hope that this initiative can be taken up by policymakers in Indonesia as an integrated protection and production policy model and can be replicated in other regions.</w:t>
            </w:r>
          </w:p>
          <w:p w14:paraId="43CB2428" w14:textId="77777777" w:rsidR="00BE58D6" w:rsidRDefault="00BE58D6" w:rsidP="00706DED">
            <w:pPr>
              <w:jc w:val="both"/>
              <w:rPr>
                <w:rFonts w:ascii="Arial" w:hAnsi="Arial" w:cs="Arial"/>
                <w:b/>
                <w:sz w:val="22"/>
                <w:szCs w:val="22"/>
              </w:rPr>
            </w:pPr>
          </w:p>
          <w:p w14:paraId="4D7B65A8" w14:textId="423EF3B6" w:rsidR="00BE58D6" w:rsidRDefault="00AE2140" w:rsidP="00AE2140">
            <w:pPr>
              <w:jc w:val="center"/>
              <w:rPr>
                <w:rFonts w:ascii="Arial" w:hAnsi="Arial" w:cs="Arial"/>
                <w:b/>
                <w:sz w:val="22"/>
                <w:szCs w:val="22"/>
              </w:rPr>
            </w:pPr>
            <w:r w:rsidRPr="00783ADB">
              <w:rPr>
                <w:rFonts w:ascii="Arial" w:hAnsi="Arial" w:cs="Arial"/>
                <w:b/>
                <w:noProof/>
                <w:sz w:val="22"/>
                <w:szCs w:val="22"/>
              </w:rPr>
              <w:lastRenderedPageBreak/>
              <w:drawing>
                <wp:inline distT="0" distB="0" distL="0" distR="0" wp14:anchorId="04186BD5" wp14:editId="37ED6E45">
                  <wp:extent cx="4122420" cy="2745833"/>
                  <wp:effectExtent l="0" t="0" r="0" b="0"/>
                  <wp:docPr id="1880696429" name="Picture 2" descr="A aerial view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aerial view of a riv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372" cy="2748465"/>
                          </a:xfrm>
                          <a:prstGeom prst="rect">
                            <a:avLst/>
                          </a:prstGeom>
                          <a:noFill/>
                          <a:ln>
                            <a:noFill/>
                          </a:ln>
                        </pic:spPr>
                      </pic:pic>
                    </a:graphicData>
                  </a:graphic>
                </wp:inline>
              </w:drawing>
            </w:r>
          </w:p>
          <w:p w14:paraId="0A3CAF3F" w14:textId="31988250" w:rsidR="00AE2140" w:rsidRPr="00AE2140" w:rsidRDefault="00AE2140" w:rsidP="00AE2140">
            <w:pPr>
              <w:ind w:right="991"/>
              <w:jc w:val="right"/>
              <w:rPr>
                <w:rFonts w:ascii="Arial" w:hAnsi="Arial" w:cs="Arial"/>
                <w:i/>
                <w:iCs/>
                <w:sz w:val="22"/>
                <w:szCs w:val="22"/>
              </w:rPr>
            </w:pPr>
            <w:r w:rsidRPr="00AE2140">
              <w:rPr>
                <w:rFonts w:ascii="Arial" w:hAnsi="Arial" w:cs="Arial"/>
                <w:i/>
                <w:iCs/>
                <w:sz w:val="22"/>
                <w:szCs w:val="22"/>
                <w:lang w:val="en-CA"/>
              </w:rPr>
              <w:t xml:space="preserve">Source: </w:t>
            </w:r>
            <w:proofErr w:type="spellStart"/>
            <w:r w:rsidRPr="00AE2140">
              <w:rPr>
                <w:rFonts w:ascii="Arial" w:hAnsi="Arial" w:cs="Arial"/>
                <w:i/>
                <w:iCs/>
                <w:sz w:val="22"/>
                <w:szCs w:val="22"/>
                <w:lang w:val="en-CA"/>
              </w:rPr>
              <w:t>Konservasi</w:t>
            </w:r>
            <w:proofErr w:type="spellEnd"/>
            <w:r w:rsidRPr="00AE2140">
              <w:rPr>
                <w:rFonts w:ascii="Arial" w:hAnsi="Arial" w:cs="Arial"/>
                <w:i/>
                <w:iCs/>
                <w:sz w:val="22"/>
                <w:szCs w:val="22"/>
                <w:lang w:val="en-CA"/>
              </w:rPr>
              <w:t xml:space="preserve"> Indonesia</w:t>
            </w:r>
          </w:p>
          <w:p w14:paraId="69137B0A" w14:textId="77777777" w:rsidR="00AE2140" w:rsidRDefault="00AE2140" w:rsidP="00AE2140">
            <w:pPr>
              <w:jc w:val="center"/>
              <w:rPr>
                <w:rFonts w:ascii="Arial" w:hAnsi="Arial" w:cs="Arial"/>
                <w:sz w:val="22"/>
                <w:szCs w:val="22"/>
                <w:lang w:val="en-CA"/>
              </w:rPr>
            </w:pPr>
            <w:r w:rsidRPr="7012FD9E">
              <w:rPr>
                <w:rFonts w:ascii="Arial" w:hAnsi="Arial" w:cs="Arial"/>
                <w:b/>
                <w:bCs/>
                <w:sz w:val="22"/>
                <w:szCs w:val="22"/>
                <w:lang w:val="en-CA"/>
              </w:rPr>
              <w:t>Figure 1</w:t>
            </w:r>
            <w:r w:rsidRPr="7012FD9E">
              <w:rPr>
                <w:rFonts w:ascii="Arial" w:hAnsi="Arial" w:cs="Arial"/>
                <w:sz w:val="22"/>
                <w:szCs w:val="22"/>
                <w:lang w:val="en-CA"/>
              </w:rPr>
              <w:t>. Illustration of CSS Pilot Location in Indonesia</w:t>
            </w:r>
          </w:p>
          <w:p w14:paraId="4D3838B5" w14:textId="77777777" w:rsidR="00AE2140" w:rsidRDefault="00AE2140" w:rsidP="00720A2F">
            <w:pPr>
              <w:rPr>
                <w:rFonts w:ascii="Arial" w:hAnsi="Arial" w:cs="Arial"/>
                <w:b/>
                <w:sz w:val="22"/>
                <w:szCs w:val="22"/>
              </w:rPr>
            </w:pPr>
          </w:p>
          <w:p w14:paraId="46AC87F1" w14:textId="3A61E36C" w:rsidR="00720A2F" w:rsidRPr="008C4F39" w:rsidRDefault="00720A2F" w:rsidP="00720A2F">
            <w:pPr>
              <w:jc w:val="both"/>
              <w:rPr>
                <w:rFonts w:asciiTheme="minorHAnsi" w:eastAsiaTheme="minorEastAsia" w:hAnsiTheme="minorHAnsi" w:cstheme="minorBidi"/>
                <w:b/>
                <w:bCs/>
                <w:sz w:val="24"/>
                <w:szCs w:val="24"/>
                <w:lang w:val="en-CA" w:eastAsia="zh-TW"/>
              </w:rPr>
            </w:pPr>
            <w:r w:rsidRPr="7012FD9E">
              <w:rPr>
                <w:rFonts w:ascii="Arial" w:hAnsi="Arial" w:cs="Arial"/>
                <w:b/>
                <w:bCs/>
                <w:sz w:val="22"/>
                <w:szCs w:val="22"/>
              </w:rPr>
              <w:t>Reference</w:t>
            </w:r>
          </w:p>
          <w:p w14:paraId="63E7F93F" w14:textId="7E500582" w:rsidR="00720A2F" w:rsidRPr="00702014" w:rsidRDefault="00720A2F" w:rsidP="00702014">
            <w:pPr>
              <w:ind w:left="487" w:hanging="487"/>
              <w:jc w:val="both"/>
              <w:rPr>
                <w:rFonts w:ascii="Arial" w:hAnsi="Arial" w:cs="Arial"/>
                <w:sz w:val="24"/>
                <w:szCs w:val="24"/>
                <w:lang w:val="en-CA"/>
              </w:rPr>
            </w:pPr>
            <w:r w:rsidRPr="00702014">
              <w:rPr>
                <w:rFonts w:ascii="Arial" w:hAnsi="Arial" w:cs="Arial"/>
                <w:sz w:val="22"/>
                <w:szCs w:val="22"/>
                <w:lang w:val="en-CA"/>
              </w:rPr>
              <w:t xml:space="preserve">Goto, G. M., Corwin, E., Farthing, A., Lubis, A. R., &amp; Klinger, D. H. (2023). A nature-based solutions approach to managing shrimp aquaculture effluent. PLOS Sustainability and Transformation, 2(8), e0000076. </w:t>
            </w:r>
            <w:hyperlink r:id="rId9">
              <w:r w:rsidRPr="00702014">
                <w:rPr>
                  <w:rStyle w:val="Hyperlink"/>
                  <w:rFonts w:ascii="Arial" w:hAnsi="Arial" w:cs="Arial"/>
                  <w:sz w:val="22"/>
                  <w:szCs w:val="22"/>
                  <w:lang w:val="en-CA"/>
                </w:rPr>
                <w:t>https://doi.org/10.1371/journal.pstr.0000076</w:t>
              </w:r>
            </w:hyperlink>
            <w:r w:rsidRPr="00702014">
              <w:rPr>
                <w:rFonts w:ascii="Arial" w:hAnsi="Arial" w:cs="Arial"/>
                <w:sz w:val="22"/>
                <w:szCs w:val="22"/>
                <w:lang w:val="en-CA"/>
              </w:rPr>
              <w:t>.</w:t>
            </w:r>
          </w:p>
          <w:p w14:paraId="42D6D4BF" w14:textId="77777777" w:rsidR="00720A2F" w:rsidRDefault="00720A2F" w:rsidP="00720A2F">
            <w:pPr>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377B7"/>
    <w:multiLevelType w:val="hybridMultilevel"/>
    <w:tmpl w:val="22D0FCDC"/>
    <w:lvl w:ilvl="0" w:tplc="22C09ECE">
      <w:start w:val="1"/>
      <w:numFmt w:val="bullet"/>
      <w:lvlText w:val=""/>
      <w:lvlJc w:val="left"/>
      <w:pPr>
        <w:ind w:left="720" w:hanging="360"/>
      </w:pPr>
      <w:rPr>
        <w:rFonts w:ascii="Symbol" w:hAnsi="Symbol" w:hint="default"/>
      </w:rPr>
    </w:lvl>
    <w:lvl w:ilvl="1" w:tplc="DB3084B8">
      <w:start w:val="1"/>
      <w:numFmt w:val="bullet"/>
      <w:lvlText w:val="o"/>
      <w:lvlJc w:val="left"/>
      <w:pPr>
        <w:ind w:left="1440" w:hanging="360"/>
      </w:pPr>
      <w:rPr>
        <w:rFonts w:ascii="Courier New" w:hAnsi="Courier New" w:hint="default"/>
      </w:rPr>
    </w:lvl>
    <w:lvl w:ilvl="2" w:tplc="E5605534">
      <w:start w:val="1"/>
      <w:numFmt w:val="bullet"/>
      <w:lvlText w:val=""/>
      <w:lvlJc w:val="left"/>
      <w:pPr>
        <w:ind w:left="2160" w:hanging="360"/>
      </w:pPr>
      <w:rPr>
        <w:rFonts w:ascii="Wingdings" w:hAnsi="Wingdings" w:hint="default"/>
      </w:rPr>
    </w:lvl>
    <w:lvl w:ilvl="3" w:tplc="04E89402">
      <w:start w:val="1"/>
      <w:numFmt w:val="bullet"/>
      <w:lvlText w:val=""/>
      <w:lvlJc w:val="left"/>
      <w:pPr>
        <w:ind w:left="2880" w:hanging="360"/>
      </w:pPr>
      <w:rPr>
        <w:rFonts w:ascii="Symbol" w:hAnsi="Symbol" w:hint="default"/>
      </w:rPr>
    </w:lvl>
    <w:lvl w:ilvl="4" w:tplc="83B077DC">
      <w:start w:val="1"/>
      <w:numFmt w:val="bullet"/>
      <w:lvlText w:val="o"/>
      <w:lvlJc w:val="left"/>
      <w:pPr>
        <w:ind w:left="3600" w:hanging="360"/>
      </w:pPr>
      <w:rPr>
        <w:rFonts w:ascii="Courier New" w:hAnsi="Courier New" w:hint="default"/>
      </w:rPr>
    </w:lvl>
    <w:lvl w:ilvl="5" w:tplc="A3CAFA1C">
      <w:start w:val="1"/>
      <w:numFmt w:val="bullet"/>
      <w:lvlText w:val=""/>
      <w:lvlJc w:val="left"/>
      <w:pPr>
        <w:ind w:left="4320" w:hanging="360"/>
      </w:pPr>
      <w:rPr>
        <w:rFonts w:ascii="Wingdings" w:hAnsi="Wingdings" w:hint="default"/>
      </w:rPr>
    </w:lvl>
    <w:lvl w:ilvl="6" w:tplc="958C95D0">
      <w:start w:val="1"/>
      <w:numFmt w:val="bullet"/>
      <w:lvlText w:val=""/>
      <w:lvlJc w:val="left"/>
      <w:pPr>
        <w:ind w:left="5040" w:hanging="360"/>
      </w:pPr>
      <w:rPr>
        <w:rFonts w:ascii="Symbol" w:hAnsi="Symbol" w:hint="default"/>
      </w:rPr>
    </w:lvl>
    <w:lvl w:ilvl="7" w:tplc="DB82A780">
      <w:start w:val="1"/>
      <w:numFmt w:val="bullet"/>
      <w:lvlText w:val="o"/>
      <w:lvlJc w:val="left"/>
      <w:pPr>
        <w:ind w:left="5760" w:hanging="360"/>
      </w:pPr>
      <w:rPr>
        <w:rFonts w:ascii="Courier New" w:hAnsi="Courier New" w:hint="default"/>
      </w:rPr>
    </w:lvl>
    <w:lvl w:ilvl="8" w:tplc="54804DCA">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2"/>
  </w:num>
  <w:num w:numId="4" w16cid:durableId="38214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174FF"/>
    <w:rsid w:val="0034503D"/>
    <w:rsid w:val="00354C31"/>
    <w:rsid w:val="00375B20"/>
    <w:rsid w:val="00386D01"/>
    <w:rsid w:val="004049E7"/>
    <w:rsid w:val="00437474"/>
    <w:rsid w:val="00462B90"/>
    <w:rsid w:val="004828A0"/>
    <w:rsid w:val="004B69C7"/>
    <w:rsid w:val="004D193B"/>
    <w:rsid w:val="004E4195"/>
    <w:rsid w:val="004F4CE8"/>
    <w:rsid w:val="004F5C81"/>
    <w:rsid w:val="0053222C"/>
    <w:rsid w:val="005469BD"/>
    <w:rsid w:val="00550B17"/>
    <w:rsid w:val="005854B8"/>
    <w:rsid w:val="005D0CE9"/>
    <w:rsid w:val="005D4768"/>
    <w:rsid w:val="0065012F"/>
    <w:rsid w:val="0068043B"/>
    <w:rsid w:val="00681CA7"/>
    <w:rsid w:val="006A7C32"/>
    <w:rsid w:val="006B0906"/>
    <w:rsid w:val="00702014"/>
    <w:rsid w:val="00720A2F"/>
    <w:rsid w:val="008235E8"/>
    <w:rsid w:val="0084260D"/>
    <w:rsid w:val="008773DF"/>
    <w:rsid w:val="008B01BA"/>
    <w:rsid w:val="008B50A0"/>
    <w:rsid w:val="008C0C35"/>
    <w:rsid w:val="008C22AD"/>
    <w:rsid w:val="008C2633"/>
    <w:rsid w:val="008E3D8D"/>
    <w:rsid w:val="008F2F93"/>
    <w:rsid w:val="009010B0"/>
    <w:rsid w:val="00906B39"/>
    <w:rsid w:val="00963443"/>
    <w:rsid w:val="009C374A"/>
    <w:rsid w:val="009F4EA0"/>
    <w:rsid w:val="00AE2140"/>
    <w:rsid w:val="00B026E8"/>
    <w:rsid w:val="00B9434F"/>
    <w:rsid w:val="00BA0872"/>
    <w:rsid w:val="00BA26BB"/>
    <w:rsid w:val="00BC6810"/>
    <w:rsid w:val="00BE0B4D"/>
    <w:rsid w:val="00BE58D6"/>
    <w:rsid w:val="00C26081"/>
    <w:rsid w:val="00C4126D"/>
    <w:rsid w:val="00C76C99"/>
    <w:rsid w:val="00C8423A"/>
    <w:rsid w:val="00CE53FE"/>
    <w:rsid w:val="00D223D8"/>
    <w:rsid w:val="00D61B78"/>
    <w:rsid w:val="00D716AD"/>
    <w:rsid w:val="00DB7929"/>
    <w:rsid w:val="00DD1BB3"/>
    <w:rsid w:val="00E612FF"/>
    <w:rsid w:val="00EB1B31"/>
    <w:rsid w:val="00EE5AC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720A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71/journal.pstr.0000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http://purl.org/dc/terms/"/>
    <ds:schemaRef ds:uri="cab52c9b-ab33-4221-8af9-54f8f2b86a80"/>
    <ds:schemaRef ds:uri="http://schemas.microsoft.com/office/2006/metadata/properties"/>
    <ds:schemaRef ds:uri="http://schemas.microsoft.com/office/infopath/2007/PartnerControls"/>
    <ds:schemaRef ds:uri="9c8a2b7b-0bee-4c48-b0a6-23db8982d3bc"/>
    <ds:schemaRef ds:uri="http://www.w3.org/XML/1998/namespace"/>
    <ds:schemaRef ds:uri="http://schemas.microsoft.com/office/2006/documentManagement/types"/>
    <ds:schemaRef ds:uri="http://schemas.openxmlformats.org/package/2006/metadata/core-properties"/>
    <ds:schemaRef ds:uri="6911e96c-4cc4-42d5-8e43-f93924cf6a05"/>
    <ds:schemaRef ds:uri="http://purl.org/dc/dcmitype/"/>
  </ds:schemaRefs>
</ds:datastoreItem>
</file>

<file path=customXml/itemProps3.xml><?xml version="1.0" encoding="utf-8"?>
<ds:datastoreItem xmlns:ds="http://schemas.openxmlformats.org/officeDocument/2006/customXml" ds:itemID="{DE1997BB-F3F4-4B6B-A84D-BBD1617E1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2025-02-28T03:52:00Z</dcterms:created>
  <dcterms:modified xsi:type="dcterms:W3CDTF">2025-08-12T23:32:00Z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