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3"/>
      </w:tblGrid>
      <w:tr w:rsidR="001564A4" w:rsidRPr="0050053A" w14:paraId="5C38377B" w14:textId="77777777" w:rsidTr="0021573E">
        <w:trPr>
          <w:trHeight w:val="900"/>
          <w:jc w:val="center"/>
        </w:trPr>
        <w:tc>
          <w:tcPr>
            <w:tcW w:w="9383" w:type="dxa"/>
            <w:shd w:val="clear" w:color="auto" w:fill="auto"/>
          </w:tcPr>
          <w:p w14:paraId="5C44F357" w14:textId="49AD947C" w:rsidR="00865DD2" w:rsidRPr="0050053A" w:rsidRDefault="0049799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Likelihood of d</w:t>
            </w:r>
            <w:r w:rsidR="00865D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ischarge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is</w:t>
            </w:r>
            <w:r w:rsidR="00865D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associated with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respiratory </w:t>
            </w:r>
            <w:r w:rsidR="00865D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outpatient appointment time</w:t>
            </w:r>
          </w:p>
        </w:tc>
      </w:tr>
      <w:tr w:rsidR="001564A4" w:rsidRPr="0050053A" w14:paraId="0E2E035C" w14:textId="77777777" w:rsidTr="0021573E">
        <w:trPr>
          <w:trHeight w:val="589"/>
          <w:jc w:val="center"/>
        </w:trPr>
        <w:tc>
          <w:tcPr>
            <w:tcW w:w="9383" w:type="dxa"/>
            <w:shd w:val="clear" w:color="auto" w:fill="auto"/>
          </w:tcPr>
          <w:p w14:paraId="73B55295" w14:textId="1A02EB0A" w:rsidR="001564A4" w:rsidRPr="00413B94" w:rsidRDefault="00050CA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John BLAKEY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32591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Alice CRAWFORD</w:t>
            </w:r>
            <w:r w:rsidR="0032591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Jess NASH</w:t>
            </w:r>
            <w:r w:rsidR="0032591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Fraser BRIMS</w:t>
            </w:r>
            <w:r w:rsidR="0032591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305E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</w:p>
        </w:tc>
      </w:tr>
      <w:tr w:rsidR="001564A4" w:rsidRPr="0050053A" w14:paraId="385A19D9" w14:textId="77777777" w:rsidTr="0021573E">
        <w:trPr>
          <w:trHeight w:val="163"/>
          <w:jc w:val="center"/>
        </w:trPr>
        <w:tc>
          <w:tcPr>
            <w:tcW w:w="9383" w:type="dxa"/>
            <w:shd w:val="clear" w:color="auto" w:fill="auto"/>
          </w:tcPr>
          <w:p w14:paraId="1643A330" w14:textId="508C75BE" w:rsidR="001564A4" w:rsidRPr="0058664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1</w:t>
            </w:r>
            <w:r w:rsidR="00305EA0"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</w:t>
            </w:r>
            <w:r w:rsidR="00325918"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Medicine, Sir Charles Gairdner Hospital, WA, Australia</w:t>
            </w:r>
          </w:p>
          <w:p w14:paraId="4DCC555C" w14:textId="77777777" w:rsidR="00237BF7" w:rsidRPr="00586644" w:rsidRDefault="001564A4" w:rsidP="0032591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2</w:t>
            </w:r>
            <w:r w:rsidR="00305EA0"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Curtin </w:t>
            </w:r>
            <w:r w:rsidR="00325918"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Medical School, Curtin University, WA, Australia</w:t>
            </w:r>
          </w:p>
          <w:p w14:paraId="45ED36BF" w14:textId="044A283D" w:rsidR="00305EA0" w:rsidRPr="00586644" w:rsidRDefault="00305EA0" w:rsidP="0032591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3</w:t>
            </w:r>
            <w:r w:rsid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5866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Respiratory Medicine, Curtin University, Nedlands, WA</w:t>
            </w:r>
          </w:p>
        </w:tc>
      </w:tr>
      <w:tr w:rsidR="001564A4" w:rsidRPr="0050053A" w14:paraId="6DAF615A" w14:textId="77777777" w:rsidTr="0021573E">
        <w:trPr>
          <w:trHeight w:hRule="exact" w:val="8878"/>
          <w:jc w:val="center"/>
        </w:trPr>
        <w:tc>
          <w:tcPr>
            <w:tcW w:w="9383" w:type="dxa"/>
            <w:shd w:val="clear" w:color="auto" w:fill="auto"/>
          </w:tcPr>
          <w:p w14:paraId="5997BC09" w14:textId="6DFF1D12" w:rsidR="004D2C7E" w:rsidRPr="0021573E" w:rsidRDefault="001564A4" w:rsidP="006B6F18">
            <w:pPr>
              <w:pStyle w:val="Pa12"/>
              <w:rPr>
                <w:color w:val="000000"/>
                <w:sz w:val="22"/>
                <w:szCs w:val="22"/>
              </w:rPr>
            </w:pPr>
            <w:r w:rsidRPr="00F24292">
              <w:rPr>
                <w:rStyle w:val="A4"/>
                <w:b/>
                <w:bCs/>
              </w:rPr>
              <w:t xml:space="preserve">Introduction/Aim: </w:t>
            </w:r>
            <w:r w:rsidRPr="00F24292">
              <w:rPr>
                <w:sz w:val="22"/>
                <w:szCs w:val="22"/>
              </w:rPr>
              <w:br/>
            </w:r>
            <w:r w:rsidR="004D2C7E" w:rsidRPr="00F24292">
              <w:rPr>
                <w:sz w:val="22"/>
                <w:szCs w:val="22"/>
              </w:rPr>
              <w:t xml:space="preserve">Making repeated judgments within experimental conditions has been shown to deplete an individuals’ mental </w:t>
            </w:r>
            <w:r w:rsidR="003F732B" w:rsidRPr="00F24292">
              <w:rPr>
                <w:sz w:val="22"/>
                <w:szCs w:val="22"/>
              </w:rPr>
              <w:t>resources and</w:t>
            </w:r>
            <w:r w:rsidR="004D2C7E" w:rsidRPr="00F24292">
              <w:rPr>
                <w:sz w:val="22"/>
                <w:szCs w:val="22"/>
              </w:rPr>
              <w:t xml:space="preserve"> influence their subsequent decisions. There is evidenc</w:t>
            </w:r>
            <w:r w:rsidR="006D20BC">
              <w:rPr>
                <w:sz w:val="22"/>
                <w:szCs w:val="22"/>
              </w:rPr>
              <w:t xml:space="preserve">e that extraneous </w:t>
            </w:r>
            <w:r w:rsidR="007D1AB9">
              <w:rPr>
                <w:sz w:val="22"/>
                <w:szCs w:val="22"/>
              </w:rPr>
              <w:t>factors</w:t>
            </w:r>
            <w:r w:rsidR="006D20BC">
              <w:rPr>
                <w:sz w:val="22"/>
                <w:szCs w:val="22"/>
              </w:rPr>
              <w:t xml:space="preserve"> affect </w:t>
            </w:r>
            <w:r w:rsidR="004D2C7E" w:rsidRPr="00F24292">
              <w:rPr>
                <w:sz w:val="22"/>
                <w:szCs w:val="22"/>
              </w:rPr>
              <w:t>judicial rulings</w:t>
            </w:r>
            <w:r w:rsidR="002B7B04">
              <w:rPr>
                <w:sz w:val="22"/>
                <w:szCs w:val="22"/>
              </w:rPr>
              <w:t>; h</w:t>
            </w:r>
            <w:r w:rsidR="0069729A">
              <w:rPr>
                <w:sz w:val="22"/>
                <w:szCs w:val="22"/>
              </w:rPr>
              <w:t>arsher sentences are applied following unexpected sport</w:t>
            </w:r>
            <w:r w:rsidR="00FF7C42">
              <w:rPr>
                <w:sz w:val="22"/>
                <w:szCs w:val="22"/>
              </w:rPr>
              <w:t>ing team losse</w:t>
            </w:r>
            <w:r w:rsidR="00DE7533">
              <w:rPr>
                <w:sz w:val="22"/>
                <w:szCs w:val="22"/>
              </w:rPr>
              <w:t>s</w:t>
            </w:r>
            <w:r w:rsidR="007D1AB9">
              <w:rPr>
                <w:sz w:val="22"/>
                <w:szCs w:val="22"/>
              </w:rPr>
              <w:t xml:space="preserve"> </w:t>
            </w:r>
            <w:r w:rsidR="007D1AB9">
              <w:rPr>
                <w:sz w:val="22"/>
                <w:szCs w:val="22"/>
              </w:rPr>
              <w:fldChar w:fldCharType="begin"/>
            </w:r>
            <w:r w:rsidR="007D1AB9">
              <w:rPr>
                <w:sz w:val="22"/>
                <w:szCs w:val="22"/>
              </w:rPr>
              <w:instrText xml:space="preserve"> ADDIN EN.CITE &lt;EndNote&gt;&lt;Cite&gt;&lt;Author&gt;Eren&lt;/Author&gt;&lt;Year&gt;2016&lt;/Year&gt;&lt;RecNum&gt;134&lt;/RecNum&gt;&lt;DisplayText&gt;[1]&lt;/DisplayText&gt;&lt;record&gt;&lt;rec-number&gt;134&lt;/rec-number&gt;&lt;foreign-keys&gt;&lt;key app="EN" db-id="frp9sdx5beeze7eatrpxfep7t5tsxv5detdw" timestamp="1696915420"&gt;134&lt;/key&gt;&lt;/foreign-keys&gt;&lt;ref-type name="Journal Article"&gt;17&lt;/ref-type&gt;&lt;contributors&gt;&lt;authors&gt;&lt;author&gt;Eren, O; Mocan, N&lt;/author&gt;&lt;/authors&gt;&lt;/contributors&gt;&lt;titles&gt;&lt;title&gt;Emotional Judges and Unlucky Juveniles&lt;/title&gt;&lt;secondary-title&gt;National Bureau of Economic Research Working Paper Series&lt;/secondary-title&gt;&lt;/titles&gt;&lt;periodical&gt;&lt;full-title&gt;National Bureau of Economic Research Working Paper Series&lt;/full-title&gt;&lt;/periodical&gt;&lt;volume&gt;No. 22611&lt;/volume&gt;&lt;dates&gt;&lt;year&gt;2016&lt;/year&gt;&lt;/dates&gt;&lt;urls&gt;&lt;/urls&gt;&lt;electronic-resource-num&gt; 10.3386/w22611&lt;/electronic-resource-num&gt;&lt;/record&gt;&lt;/Cite&gt;&lt;/EndNote&gt;</w:instrText>
            </w:r>
            <w:r w:rsidR="007D1AB9">
              <w:rPr>
                <w:sz w:val="22"/>
                <w:szCs w:val="22"/>
              </w:rPr>
              <w:fldChar w:fldCharType="separate"/>
            </w:r>
            <w:r w:rsidR="007D1AB9">
              <w:rPr>
                <w:noProof/>
                <w:sz w:val="22"/>
                <w:szCs w:val="22"/>
              </w:rPr>
              <w:t>[1]</w:t>
            </w:r>
            <w:r w:rsidR="007D1AB9">
              <w:rPr>
                <w:sz w:val="22"/>
                <w:szCs w:val="22"/>
              </w:rPr>
              <w:fldChar w:fldCharType="end"/>
            </w:r>
            <w:r w:rsidR="002B7B04">
              <w:rPr>
                <w:sz w:val="22"/>
                <w:szCs w:val="22"/>
              </w:rPr>
              <w:t>,</w:t>
            </w:r>
            <w:r w:rsidR="00DE7533">
              <w:rPr>
                <w:sz w:val="22"/>
                <w:szCs w:val="22"/>
              </w:rPr>
              <w:t xml:space="preserve"> and </w:t>
            </w:r>
            <w:r w:rsidR="002B7B04">
              <w:rPr>
                <w:sz w:val="22"/>
                <w:szCs w:val="22"/>
              </w:rPr>
              <w:t>d</w:t>
            </w:r>
            <w:r w:rsidR="004D2C7E" w:rsidRPr="00F24292">
              <w:rPr>
                <w:sz w:val="22"/>
                <w:szCs w:val="22"/>
              </w:rPr>
              <w:t>ecision-makers gravitate to</w:t>
            </w:r>
            <w:r w:rsidR="008E07AD">
              <w:rPr>
                <w:sz w:val="22"/>
                <w:szCs w:val="22"/>
              </w:rPr>
              <w:t xml:space="preserve"> </w:t>
            </w:r>
            <w:r w:rsidR="004D2C7E" w:rsidRPr="00F24292">
              <w:rPr>
                <w:sz w:val="22"/>
                <w:szCs w:val="22"/>
              </w:rPr>
              <w:t>continuing the status quo as they tire: the</w:t>
            </w:r>
            <w:r w:rsidR="008E07AD">
              <w:rPr>
                <w:sz w:val="22"/>
                <w:szCs w:val="22"/>
              </w:rPr>
              <w:t xml:space="preserve"> so-called</w:t>
            </w:r>
            <w:r w:rsidR="004D2C7E" w:rsidRPr="00F24292">
              <w:rPr>
                <w:sz w:val="22"/>
                <w:szCs w:val="22"/>
              </w:rPr>
              <w:t xml:space="preserve"> “hungry judge effect”</w:t>
            </w:r>
            <w:r w:rsidR="00E60ACE">
              <w:rPr>
                <w:sz w:val="22"/>
                <w:szCs w:val="22"/>
              </w:rPr>
              <w:t xml:space="preserve"> </w:t>
            </w:r>
            <w:r w:rsidR="0021573E">
              <w:rPr>
                <w:sz w:val="22"/>
                <w:szCs w:val="22"/>
              </w:rPr>
              <w:fldChar w:fldCharType="begin"/>
            </w:r>
            <w:r w:rsidR="0021573E">
              <w:rPr>
                <w:sz w:val="22"/>
                <w:szCs w:val="22"/>
              </w:rPr>
              <w:instrText xml:space="preserve"> ADDIN EN.CITE &lt;EndNote&gt;&lt;Cite&gt;&lt;Author&gt;Danziger&lt;/Author&gt;&lt;Year&gt;2011&lt;/Year&gt;&lt;RecNum&gt;135&lt;/RecNum&gt;&lt;DisplayText&gt;[2]&lt;/DisplayText&gt;&lt;record&gt;&lt;rec-number&gt;135&lt;/rec-number&gt;&lt;foreign-keys&gt;&lt;key app="EN" db-id="frp9sdx5beeze7eatrpxfep7t5tsxv5detdw" timestamp="1696916454"&gt;135&lt;/key&gt;&lt;/foreign-keys&gt;&lt;ref-type name="Journal Article"&gt;17&lt;/ref-type&gt;&lt;contributors&gt;&lt;authors&gt;&lt;author&gt;Danziger, S.&lt;/author&gt;&lt;author&gt;Levav, J.&lt;/author&gt;&lt;author&gt;Avnaim-Pesso, L.&lt;/author&gt;&lt;/authors&gt;&lt;/contributors&gt;&lt;auth-address&gt;Department of Management, Ben Gurion University of the Negev, Beer Sheva 84105, Israel.&lt;/auth-address&gt;&lt;titles&gt;&lt;title&gt;Extraneous factors in judicial decisions&lt;/title&gt;&lt;secondary-title&gt;Proc Natl Acad Sci U S A&lt;/secondary-title&gt;&lt;/titles&gt;&lt;periodical&gt;&lt;full-title&gt;Proc Natl Acad Sci U S A&lt;/full-title&gt;&lt;/periodical&gt;&lt;pages&gt;6889-92&lt;/pages&gt;&lt;volume&gt;108&lt;/volume&gt;&lt;number&gt;17&lt;/number&gt;&lt;edition&gt;20110411&lt;/edition&gt;&lt;keywords&gt;&lt;keyword&gt;*Choice Behavior&lt;/keyword&gt;&lt;keyword&gt;Cognition&lt;/keyword&gt;&lt;keyword&gt;Feeding Behavior&lt;/keyword&gt;&lt;keyword&gt;Female&lt;/keyword&gt;&lt;keyword&gt;Humans&lt;/keyword&gt;&lt;keyword&gt;*Jurisprudence&lt;/keyword&gt;&lt;keyword&gt;Male&lt;/keyword&gt;&lt;keyword&gt;*Mental Fatigue&lt;/keyword&gt;&lt;keyword&gt;Time Factors&lt;/keyword&gt;&lt;keyword&gt;Workload&lt;/keyword&gt;&lt;/keywords&gt;&lt;dates&gt;&lt;year&gt;2011&lt;/year&gt;&lt;pub-dates&gt;&lt;date&gt;Apr 26&lt;/date&gt;&lt;/pub-dates&gt;&lt;/dates&gt;&lt;isbn&gt;0027-8424 (Print)&amp;#xD;0027-8424&lt;/isbn&gt;&lt;accession-num&gt;21482790&lt;/accession-num&gt;&lt;urls&gt;&lt;/urls&gt;&lt;custom1&gt;The authors declare no conflict of interest.&lt;/custom1&gt;&lt;custom2&gt;PMC3084045&lt;/custom2&gt;&lt;electronic-resource-num&gt;10.1073/pnas.1018033108&lt;/electronic-resource-num&gt;&lt;remote-database-provider&gt;NLM&lt;/remote-database-provider&gt;&lt;language&gt;eng&lt;/language&gt;&lt;/record&gt;&lt;/Cite&gt;&lt;/EndNote&gt;</w:instrText>
            </w:r>
            <w:r w:rsidR="0021573E">
              <w:rPr>
                <w:sz w:val="22"/>
                <w:szCs w:val="22"/>
              </w:rPr>
              <w:fldChar w:fldCharType="separate"/>
            </w:r>
            <w:r w:rsidR="0021573E">
              <w:rPr>
                <w:noProof/>
                <w:sz w:val="22"/>
                <w:szCs w:val="22"/>
              </w:rPr>
              <w:t>[2]</w:t>
            </w:r>
            <w:r w:rsidR="0021573E">
              <w:rPr>
                <w:sz w:val="22"/>
                <w:szCs w:val="22"/>
              </w:rPr>
              <w:fldChar w:fldCharType="end"/>
            </w:r>
            <w:r w:rsidR="004D2C7E" w:rsidRPr="00F24292">
              <w:rPr>
                <w:sz w:val="22"/>
                <w:szCs w:val="22"/>
              </w:rPr>
              <w:t>.</w:t>
            </w:r>
            <w:r w:rsidR="006B6F18">
              <w:rPr>
                <w:sz w:val="22"/>
                <w:szCs w:val="22"/>
              </w:rPr>
              <w:t xml:space="preserve"> </w:t>
            </w:r>
            <w:r w:rsidR="004D2C7E" w:rsidRPr="00F24292">
              <w:rPr>
                <w:sz w:val="22"/>
                <w:szCs w:val="22"/>
              </w:rPr>
              <w:t xml:space="preserve">We set out to explore whether respiratory physicians demonstrate </w:t>
            </w:r>
            <w:r w:rsidR="00915836">
              <w:rPr>
                <w:sz w:val="22"/>
                <w:szCs w:val="22"/>
              </w:rPr>
              <w:t>similar behaviour</w:t>
            </w:r>
            <w:r w:rsidR="00884375" w:rsidRPr="00F24292">
              <w:rPr>
                <w:sz w:val="22"/>
                <w:szCs w:val="22"/>
              </w:rPr>
              <w:t xml:space="preserve"> and</w:t>
            </w:r>
            <w:r w:rsidR="004D2C7E" w:rsidRPr="00F24292">
              <w:rPr>
                <w:sz w:val="22"/>
                <w:szCs w:val="22"/>
              </w:rPr>
              <w:t xml:space="preserve"> be less likely to discharge </w:t>
            </w:r>
            <w:r w:rsidR="004D2C7E" w:rsidRPr="0021573E">
              <w:rPr>
                <w:sz w:val="22"/>
                <w:szCs w:val="22"/>
              </w:rPr>
              <w:t xml:space="preserve">individuals from out-patient follow-up as the clinic sessions wore on. </w:t>
            </w:r>
          </w:p>
          <w:p w14:paraId="3D770CF7" w14:textId="77777777" w:rsidR="001564A4" w:rsidRPr="0021573E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21573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21573E">
              <w:rPr>
                <w:rStyle w:val="A4"/>
                <w:b/>
                <w:bCs/>
              </w:rPr>
              <w:t xml:space="preserve">Methods: </w:t>
            </w:r>
          </w:p>
          <w:p w14:paraId="5DFF5DA0" w14:textId="04825FF8" w:rsidR="00DE4068" w:rsidRPr="0021573E" w:rsidRDefault="003F732B" w:rsidP="003F732B">
            <w:pPr>
              <w:pStyle w:val="Pa12"/>
              <w:rPr>
                <w:sz w:val="22"/>
                <w:szCs w:val="22"/>
              </w:rPr>
            </w:pPr>
            <w:r w:rsidRPr="0021573E">
              <w:rPr>
                <w:sz w:val="22"/>
                <w:szCs w:val="22"/>
              </w:rPr>
              <w:t>Retrospective analysis of</w:t>
            </w:r>
            <w:r w:rsidR="00B75132" w:rsidRPr="0021573E">
              <w:rPr>
                <w:sz w:val="22"/>
                <w:szCs w:val="22"/>
              </w:rPr>
              <w:t xml:space="preserve"> Hospital systems data from a</w:t>
            </w:r>
            <w:r w:rsidRPr="0021573E">
              <w:rPr>
                <w:sz w:val="22"/>
                <w:szCs w:val="22"/>
              </w:rPr>
              <w:t xml:space="preserve"> tertiary hospital</w:t>
            </w:r>
            <w:r w:rsidR="00B75132" w:rsidRPr="0021573E">
              <w:rPr>
                <w:sz w:val="22"/>
                <w:szCs w:val="22"/>
              </w:rPr>
              <w:t>, reviewing</w:t>
            </w:r>
            <w:r w:rsidRPr="0021573E">
              <w:rPr>
                <w:sz w:val="22"/>
                <w:szCs w:val="22"/>
              </w:rPr>
              <w:t xml:space="preserve"> respiratory subspeciality clinic</w:t>
            </w:r>
            <w:r w:rsidR="00272B7B" w:rsidRPr="0021573E">
              <w:rPr>
                <w:sz w:val="22"/>
                <w:szCs w:val="22"/>
              </w:rPr>
              <w:t xml:space="preserve"> outcomes</w:t>
            </w:r>
            <w:r w:rsidRPr="0021573E">
              <w:rPr>
                <w:sz w:val="22"/>
                <w:szCs w:val="22"/>
              </w:rPr>
              <w:t xml:space="preserve"> between 1</w:t>
            </w:r>
            <w:r w:rsidRPr="0021573E">
              <w:rPr>
                <w:sz w:val="22"/>
                <w:szCs w:val="22"/>
                <w:vertAlign w:val="superscript"/>
              </w:rPr>
              <w:t>st</w:t>
            </w:r>
            <w:r w:rsidRPr="0021573E">
              <w:rPr>
                <w:sz w:val="22"/>
                <w:szCs w:val="22"/>
              </w:rPr>
              <w:t xml:space="preserve"> August 2018 to 31</w:t>
            </w:r>
            <w:r w:rsidRPr="0021573E">
              <w:rPr>
                <w:sz w:val="22"/>
                <w:szCs w:val="22"/>
                <w:vertAlign w:val="superscript"/>
              </w:rPr>
              <w:t>st</w:t>
            </w:r>
            <w:r w:rsidRPr="0021573E">
              <w:rPr>
                <w:sz w:val="22"/>
                <w:szCs w:val="22"/>
              </w:rPr>
              <w:t xml:space="preserve"> July 2022. </w:t>
            </w:r>
            <w:r w:rsidR="00DE4068" w:rsidRPr="0021573E">
              <w:rPr>
                <w:sz w:val="22"/>
                <w:szCs w:val="22"/>
              </w:rPr>
              <w:t xml:space="preserve">Clinics for Cystic Fibrosis </w:t>
            </w:r>
            <w:r w:rsidR="00062F5C">
              <w:rPr>
                <w:sz w:val="22"/>
                <w:szCs w:val="22"/>
              </w:rPr>
              <w:t xml:space="preserve">and Asbestos Review Program </w:t>
            </w:r>
            <w:r w:rsidR="00DE4068" w:rsidRPr="0021573E">
              <w:rPr>
                <w:sz w:val="22"/>
                <w:szCs w:val="22"/>
              </w:rPr>
              <w:t>were excluded as discharge rates are negligible. Clinic appointments were classified as “early” (first hour of clinic), “mid”, or “later” (last hour of clinic)</w:t>
            </w:r>
            <w:r w:rsidR="009C676B" w:rsidRPr="0021573E">
              <w:rPr>
                <w:sz w:val="22"/>
                <w:szCs w:val="22"/>
              </w:rPr>
              <w:t xml:space="preserve">. </w:t>
            </w:r>
            <w:r w:rsidRPr="0021573E">
              <w:rPr>
                <w:sz w:val="22"/>
                <w:szCs w:val="22"/>
              </w:rPr>
              <w:t>The primary outcome was whether the patient was discharged, with secondary outcomes of clinic non-attendance (DNA).</w:t>
            </w:r>
            <w:r w:rsidR="00885E4B" w:rsidRPr="0021573E">
              <w:rPr>
                <w:sz w:val="22"/>
                <w:szCs w:val="22"/>
              </w:rPr>
              <w:t xml:space="preserve"> A comparison was made between the rate of discharge between clinic time categories. </w:t>
            </w:r>
          </w:p>
          <w:p w14:paraId="5029BAE6" w14:textId="77777777" w:rsidR="001564A4" w:rsidRPr="0021573E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21573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21573E">
              <w:rPr>
                <w:rStyle w:val="A4"/>
                <w:b/>
                <w:bCs/>
              </w:rPr>
              <w:t xml:space="preserve">Results: </w:t>
            </w:r>
          </w:p>
          <w:p w14:paraId="18F77515" w14:textId="48D87598" w:rsidR="001564A4" w:rsidRPr="0021573E" w:rsidRDefault="00885E4B" w:rsidP="000A28E2">
            <w:pPr>
              <w:pStyle w:val="Pa12"/>
              <w:rPr>
                <w:sz w:val="22"/>
                <w:szCs w:val="22"/>
              </w:rPr>
            </w:pPr>
            <w:r w:rsidRPr="0021573E">
              <w:rPr>
                <w:sz w:val="22"/>
                <w:szCs w:val="22"/>
              </w:rPr>
              <w:t xml:space="preserve">36,592 clinic appointment outcomes were reviewed. </w:t>
            </w:r>
            <w:r w:rsidR="00774712" w:rsidRPr="0021573E">
              <w:rPr>
                <w:sz w:val="22"/>
                <w:szCs w:val="22"/>
              </w:rPr>
              <w:t>D</w:t>
            </w:r>
            <w:r w:rsidRPr="0021573E">
              <w:rPr>
                <w:sz w:val="22"/>
                <w:szCs w:val="22"/>
              </w:rPr>
              <w:t xml:space="preserve">ischarge rate </w:t>
            </w:r>
            <w:r w:rsidR="00774712" w:rsidRPr="0021573E">
              <w:rPr>
                <w:sz w:val="22"/>
                <w:szCs w:val="22"/>
              </w:rPr>
              <w:t>was noted to vary depending on clinic time, with early clinic appointment</w:t>
            </w:r>
            <w:r w:rsidR="007F6CEC" w:rsidRPr="0021573E">
              <w:rPr>
                <w:sz w:val="22"/>
                <w:szCs w:val="22"/>
              </w:rPr>
              <w:t xml:space="preserve"> discharge rate</w:t>
            </w:r>
            <w:r w:rsidR="00F76739" w:rsidRPr="0021573E">
              <w:rPr>
                <w:sz w:val="22"/>
                <w:szCs w:val="22"/>
              </w:rPr>
              <w:t xml:space="preserve"> of 13.6%</w:t>
            </w:r>
            <w:r w:rsidR="003A6DC8">
              <w:rPr>
                <w:sz w:val="22"/>
                <w:szCs w:val="22"/>
              </w:rPr>
              <w:t xml:space="preserve"> (</w:t>
            </w:r>
            <w:r w:rsidR="003002D7">
              <w:rPr>
                <w:sz w:val="22"/>
                <w:szCs w:val="22"/>
              </w:rPr>
              <w:t xml:space="preserve">95% </w:t>
            </w:r>
            <w:r w:rsidR="003A6DC8">
              <w:rPr>
                <w:sz w:val="22"/>
                <w:szCs w:val="22"/>
              </w:rPr>
              <w:t xml:space="preserve">CI </w:t>
            </w:r>
            <w:r w:rsidR="00937835">
              <w:rPr>
                <w:sz w:val="22"/>
                <w:szCs w:val="22"/>
              </w:rPr>
              <w:t>+/-</w:t>
            </w:r>
            <w:r w:rsidR="00273D2B">
              <w:rPr>
                <w:sz w:val="22"/>
                <w:szCs w:val="22"/>
              </w:rPr>
              <w:t>0.57%)</w:t>
            </w:r>
            <w:r w:rsidR="00F76739" w:rsidRPr="0021573E">
              <w:rPr>
                <w:sz w:val="22"/>
                <w:szCs w:val="22"/>
              </w:rPr>
              <w:t>, compared to late clinic discharge rate of 14.6%</w:t>
            </w:r>
            <w:r w:rsidR="001115F7">
              <w:rPr>
                <w:sz w:val="22"/>
                <w:szCs w:val="22"/>
              </w:rPr>
              <w:t xml:space="preserve"> (</w:t>
            </w:r>
            <w:r w:rsidR="003002D7">
              <w:rPr>
                <w:sz w:val="22"/>
                <w:szCs w:val="22"/>
              </w:rPr>
              <w:t xml:space="preserve">95% </w:t>
            </w:r>
            <w:r w:rsidR="001115F7">
              <w:rPr>
                <w:sz w:val="22"/>
                <w:szCs w:val="22"/>
              </w:rPr>
              <w:t>CI</w:t>
            </w:r>
            <w:r w:rsidR="00273D2B">
              <w:rPr>
                <w:sz w:val="22"/>
                <w:szCs w:val="22"/>
              </w:rPr>
              <w:t xml:space="preserve"> +/- 0.85%</w:t>
            </w:r>
            <w:r w:rsidR="003002D7">
              <w:rPr>
                <w:sz w:val="22"/>
                <w:szCs w:val="22"/>
              </w:rPr>
              <w:t>)</w:t>
            </w:r>
            <w:r w:rsidR="00F76739" w:rsidRPr="0021573E">
              <w:rPr>
                <w:sz w:val="22"/>
                <w:szCs w:val="22"/>
              </w:rPr>
              <w:t>, equating to hundreds of additional individuals discharged</w:t>
            </w:r>
            <w:r w:rsidR="00DE4068" w:rsidRPr="0021573E">
              <w:rPr>
                <w:sz w:val="22"/>
                <w:szCs w:val="22"/>
              </w:rPr>
              <w:t xml:space="preserve">. </w:t>
            </w:r>
            <w:r w:rsidR="00110B3D">
              <w:rPr>
                <w:sz w:val="22"/>
                <w:szCs w:val="22"/>
              </w:rPr>
              <w:t>There was an association between DNA rate and time of clinic appointment</w:t>
            </w:r>
            <w:r w:rsidR="00D56928">
              <w:rPr>
                <w:sz w:val="22"/>
                <w:szCs w:val="22"/>
              </w:rPr>
              <w:t xml:space="preserve">, with higher DNA rates in later clinic time slots </w:t>
            </w:r>
            <w:r w:rsidR="002B6CE9" w:rsidRPr="0021573E">
              <w:rPr>
                <w:sz w:val="22"/>
                <w:szCs w:val="22"/>
              </w:rPr>
              <w:t>(5.1% vs 6.8%</w:t>
            </w:r>
            <w:r w:rsidR="00D56928">
              <w:rPr>
                <w:sz w:val="22"/>
                <w:szCs w:val="22"/>
              </w:rPr>
              <w:t>, chi-squared</w:t>
            </w:r>
            <w:r w:rsidR="00FF0405">
              <w:rPr>
                <w:sz w:val="22"/>
                <w:szCs w:val="22"/>
              </w:rPr>
              <w:t xml:space="preserve"> test p=0.010</w:t>
            </w:r>
            <w:r w:rsidR="002B6CE9" w:rsidRPr="0021573E">
              <w:rPr>
                <w:sz w:val="22"/>
                <w:szCs w:val="22"/>
              </w:rPr>
              <w:t>).</w:t>
            </w:r>
          </w:p>
          <w:p w14:paraId="68537800" w14:textId="77777777" w:rsidR="001564A4" w:rsidRPr="0021573E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21573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21573E">
              <w:rPr>
                <w:rStyle w:val="A4"/>
                <w:b/>
                <w:bCs/>
              </w:rPr>
              <w:t xml:space="preserve">Conclusion: </w:t>
            </w:r>
          </w:p>
          <w:p w14:paraId="69B04572" w14:textId="345F2926" w:rsidR="001564A4" w:rsidRPr="0021573E" w:rsidRDefault="009C676B" w:rsidP="000A28E2">
            <w:pPr>
              <w:pStyle w:val="Pa12"/>
              <w:rPr>
                <w:sz w:val="20"/>
                <w:szCs w:val="20"/>
              </w:rPr>
            </w:pPr>
            <w:r w:rsidRPr="0021573E">
              <w:rPr>
                <w:sz w:val="22"/>
                <w:szCs w:val="22"/>
              </w:rPr>
              <w:t>This large</w:t>
            </w:r>
            <w:r w:rsidR="008A5D30">
              <w:rPr>
                <w:sz w:val="22"/>
                <w:szCs w:val="22"/>
              </w:rPr>
              <w:t>,</w:t>
            </w:r>
            <w:r w:rsidRPr="0021573E">
              <w:rPr>
                <w:sz w:val="22"/>
                <w:szCs w:val="22"/>
              </w:rPr>
              <w:t xml:space="preserve"> retrospective</w:t>
            </w:r>
            <w:r w:rsidR="008A5D30">
              <w:rPr>
                <w:sz w:val="22"/>
                <w:szCs w:val="22"/>
              </w:rPr>
              <w:t xml:space="preserve">, </w:t>
            </w:r>
            <w:r w:rsidRPr="0021573E">
              <w:rPr>
                <w:sz w:val="22"/>
                <w:szCs w:val="22"/>
              </w:rPr>
              <w:t>single</w:t>
            </w:r>
            <w:r w:rsidR="008A5D30">
              <w:rPr>
                <w:sz w:val="22"/>
                <w:szCs w:val="22"/>
              </w:rPr>
              <w:t>-c</w:t>
            </w:r>
            <w:r w:rsidRPr="0021573E">
              <w:rPr>
                <w:sz w:val="22"/>
                <w:szCs w:val="22"/>
              </w:rPr>
              <w:t>entre study did not find evidence that Respiratory clinicians are more likely to retain patients in follow-up if seen later in clinic.</w:t>
            </w:r>
            <w:r w:rsidR="008A5D30">
              <w:rPr>
                <w:sz w:val="22"/>
                <w:szCs w:val="22"/>
              </w:rPr>
              <w:t xml:space="preserve"> Patients were more likely to not-attend </w:t>
            </w:r>
            <w:r w:rsidR="00933A58">
              <w:rPr>
                <w:sz w:val="22"/>
                <w:szCs w:val="22"/>
              </w:rPr>
              <w:t xml:space="preserve">for appointments later in the clinic. </w:t>
            </w:r>
            <w:r w:rsidR="00933A58">
              <w:rPr>
                <w:sz w:val="22"/>
                <w:szCs w:val="22"/>
              </w:rPr>
              <w:br/>
            </w:r>
          </w:p>
          <w:p w14:paraId="2A651708" w14:textId="6CFA783B" w:rsidR="001564A4" w:rsidRPr="0021573E" w:rsidRDefault="00586644" w:rsidP="000A28E2">
            <w:pPr>
              <w:pStyle w:val="Pa12"/>
              <w:rPr>
                <w:b/>
                <w:bCs/>
                <w:sz w:val="20"/>
                <w:szCs w:val="20"/>
              </w:rPr>
            </w:pPr>
            <w:r w:rsidRPr="0021573E">
              <w:rPr>
                <w:b/>
                <w:bCs/>
                <w:sz w:val="20"/>
                <w:szCs w:val="20"/>
              </w:rPr>
              <w:t>References:</w:t>
            </w:r>
          </w:p>
          <w:p w14:paraId="5A2053B9" w14:textId="77777777" w:rsidR="0021573E" w:rsidRPr="0021573E" w:rsidRDefault="002C5210" w:rsidP="0021573E">
            <w:pPr>
              <w:pStyle w:val="EndNoteBibliography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2157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1573E">
              <w:rPr>
                <w:rFonts w:ascii="Arial" w:hAnsi="Arial" w:cs="Arial"/>
                <w:sz w:val="18"/>
                <w:szCs w:val="18"/>
              </w:rPr>
              <w:instrText xml:space="preserve"> ADDIN EN.REFLIST </w:instrText>
            </w:r>
            <w:r w:rsidRPr="00215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73E" w:rsidRPr="0021573E">
              <w:rPr>
                <w:rFonts w:ascii="Arial" w:hAnsi="Arial" w:cs="Arial"/>
                <w:sz w:val="18"/>
                <w:szCs w:val="18"/>
              </w:rPr>
              <w:t>1.</w:t>
            </w:r>
            <w:r w:rsidR="0021573E" w:rsidRPr="0021573E">
              <w:rPr>
                <w:rFonts w:ascii="Arial" w:hAnsi="Arial" w:cs="Arial"/>
                <w:sz w:val="18"/>
                <w:szCs w:val="18"/>
              </w:rPr>
              <w:tab/>
              <w:t xml:space="preserve">Eren, O.M., N, </w:t>
            </w:r>
            <w:r w:rsidR="0021573E" w:rsidRPr="0021573E">
              <w:rPr>
                <w:rFonts w:ascii="Arial" w:hAnsi="Arial" w:cs="Arial"/>
                <w:i/>
                <w:sz w:val="18"/>
                <w:szCs w:val="18"/>
              </w:rPr>
              <w:t>Emotional Judges and Unlucky Juveniles.</w:t>
            </w:r>
            <w:r w:rsidR="0021573E" w:rsidRPr="0021573E">
              <w:rPr>
                <w:rFonts w:ascii="Arial" w:hAnsi="Arial" w:cs="Arial"/>
                <w:sz w:val="18"/>
                <w:szCs w:val="18"/>
              </w:rPr>
              <w:t xml:space="preserve"> National Bureau of Economic Research Working Paper Series, 2016. </w:t>
            </w:r>
            <w:r w:rsidR="0021573E" w:rsidRPr="0021573E">
              <w:rPr>
                <w:rFonts w:ascii="Arial" w:hAnsi="Arial" w:cs="Arial"/>
                <w:b/>
                <w:sz w:val="18"/>
                <w:szCs w:val="18"/>
              </w:rPr>
              <w:t>No. 22611</w:t>
            </w:r>
            <w:r w:rsidR="0021573E" w:rsidRPr="0021573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D9275F" w14:textId="77777777" w:rsidR="0021573E" w:rsidRPr="0021573E" w:rsidRDefault="0021573E" w:rsidP="0021573E">
            <w:pPr>
              <w:pStyle w:val="EndNoteBibliography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21573E">
              <w:rPr>
                <w:rFonts w:ascii="Arial" w:hAnsi="Arial" w:cs="Arial"/>
                <w:sz w:val="18"/>
                <w:szCs w:val="18"/>
              </w:rPr>
              <w:t>2.</w:t>
            </w:r>
            <w:r w:rsidRPr="0021573E">
              <w:rPr>
                <w:rFonts w:ascii="Arial" w:hAnsi="Arial" w:cs="Arial"/>
                <w:sz w:val="18"/>
                <w:szCs w:val="18"/>
              </w:rPr>
              <w:tab/>
              <w:t xml:space="preserve">Danziger, S., J. Levav, and L. Avnaim-Pesso, </w:t>
            </w:r>
            <w:r w:rsidRPr="0021573E">
              <w:rPr>
                <w:rFonts w:ascii="Arial" w:hAnsi="Arial" w:cs="Arial"/>
                <w:i/>
                <w:sz w:val="18"/>
                <w:szCs w:val="18"/>
              </w:rPr>
              <w:t>Extraneous factors in judicial decisions.</w:t>
            </w:r>
            <w:r w:rsidRPr="0021573E">
              <w:rPr>
                <w:rFonts w:ascii="Arial" w:hAnsi="Arial" w:cs="Arial"/>
                <w:sz w:val="18"/>
                <w:szCs w:val="18"/>
              </w:rPr>
              <w:t xml:space="preserve"> Proc Natl Acad Sci U S A, 2011. </w:t>
            </w:r>
            <w:r w:rsidRPr="0021573E">
              <w:rPr>
                <w:rFonts w:ascii="Arial" w:hAnsi="Arial" w:cs="Arial"/>
                <w:b/>
                <w:sz w:val="18"/>
                <w:szCs w:val="18"/>
              </w:rPr>
              <w:t>108</w:t>
            </w:r>
            <w:r w:rsidRPr="0021573E">
              <w:rPr>
                <w:rFonts w:ascii="Arial" w:hAnsi="Arial" w:cs="Arial"/>
                <w:sz w:val="18"/>
                <w:szCs w:val="18"/>
              </w:rPr>
              <w:t>(17): p. 6889-92.</w:t>
            </w:r>
          </w:p>
          <w:p w14:paraId="252C8ED5" w14:textId="0B579AC5" w:rsidR="00586644" w:rsidRPr="00586644" w:rsidRDefault="002C5210" w:rsidP="002C5210">
            <w:pPr>
              <w:pStyle w:val="Default"/>
            </w:pPr>
            <w:r w:rsidRPr="0021573E">
              <w:rPr>
                <w:sz w:val="18"/>
                <w:szCs w:val="18"/>
              </w:rPr>
              <w:fldChar w:fldCharType="end"/>
            </w:r>
          </w:p>
          <w:p w14:paraId="033167F9" w14:textId="77777777" w:rsidR="001564A4" w:rsidRPr="00F24292" w:rsidRDefault="001564A4" w:rsidP="000A28E2">
            <w:pPr>
              <w:pStyle w:val="Pa12"/>
              <w:rPr>
                <w:rStyle w:val="A4"/>
                <w:bCs/>
              </w:rPr>
            </w:pPr>
            <w:r w:rsidRPr="00F24292"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F24292" w:rsidRDefault="001564A4" w:rsidP="000A28E2">
            <w:pPr>
              <w:pStyle w:val="Pa12"/>
              <w:rPr>
                <w:rStyle w:val="A4"/>
                <w:bCs/>
              </w:rPr>
            </w:pPr>
            <w:r w:rsidRPr="00F24292">
              <w:rPr>
                <w:rStyle w:val="A4"/>
                <w:bCs/>
              </w:rPr>
              <w:br/>
            </w:r>
          </w:p>
          <w:p w14:paraId="3E8B4283" w14:textId="77777777" w:rsidR="001564A4" w:rsidRPr="00F2429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24292">
              <w:rPr>
                <w:rStyle w:val="A4"/>
                <w:b/>
                <w:bCs/>
              </w:rPr>
              <w:t xml:space="preserve">Grant Support: </w:t>
            </w:r>
          </w:p>
          <w:p w14:paraId="51DFB0D4" w14:textId="2C65D12D" w:rsidR="00237BF7" w:rsidRPr="00F24292" w:rsidRDefault="004D2C7E" w:rsidP="004D2C7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4292">
              <w:rPr>
                <w:rFonts w:ascii="Arial" w:hAnsi="Arial" w:cs="Arial"/>
                <w:sz w:val="22"/>
                <w:szCs w:val="22"/>
              </w:rPr>
              <w:t>Danziger S, Levav J, Avnaim-Pesso L. Extraneous factors in judicial decisions. Proc Natl Acad Sci U S A. 2011 Apr 26;108(17):6889-92</w:t>
            </w:r>
            <w:r w:rsidR="001564A4" w:rsidRPr="00F24292">
              <w:rPr>
                <w:rFonts w:ascii="Arial" w:hAnsi="Arial" w:cs="Arial"/>
                <w:sz w:val="22"/>
                <w:szCs w:val="22"/>
              </w:rPr>
              <w:br/>
            </w:r>
          </w:p>
          <w:p w14:paraId="7F8381F0" w14:textId="0D8FA03E" w:rsidR="001564A4" w:rsidRPr="00F24292" w:rsidRDefault="001564A4" w:rsidP="000A28E2">
            <w:pPr>
              <w:pStyle w:val="Pa12"/>
              <w:rPr>
                <w:sz w:val="22"/>
                <w:szCs w:val="22"/>
              </w:rPr>
            </w:pP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  <w:r w:rsidRPr="00F24292">
              <w:rPr>
                <w:sz w:val="22"/>
                <w:szCs w:val="22"/>
              </w:rPr>
              <w:br/>
            </w:r>
          </w:p>
          <w:p w14:paraId="731CD908" w14:textId="77777777" w:rsidR="001564A4" w:rsidRPr="00F2429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2429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24292" w:rsidRDefault="001564A4" w:rsidP="000A28E2">
            <w:pPr>
              <w:pStyle w:val="Pa12"/>
              <w:rPr>
                <w:rStyle w:val="A4"/>
                <w:bCs/>
              </w:rPr>
            </w:pP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  <w:r w:rsidRPr="00F24292">
              <w:rPr>
                <w:rStyle w:val="A4"/>
                <w:bCs/>
              </w:rPr>
              <w:br/>
            </w:r>
          </w:p>
          <w:p w14:paraId="14DC37E4" w14:textId="77777777" w:rsidR="001564A4" w:rsidRPr="00F24292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24292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  <w:r w:rsidRPr="00F2429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1B50A267" w14:textId="77777777" w:rsidR="00237BF7" w:rsidRDefault="00237BF7" w:rsidP="001564A4"/>
    <w:sectPr w:rsidR="0023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27F"/>
    <w:multiLevelType w:val="multilevel"/>
    <w:tmpl w:val="9A30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70648"/>
    <w:multiLevelType w:val="hybridMultilevel"/>
    <w:tmpl w:val="526EABEA"/>
    <w:lvl w:ilvl="0" w:tplc="EE4692E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A57"/>
    <w:multiLevelType w:val="multilevel"/>
    <w:tmpl w:val="5B84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625463">
    <w:abstractNumId w:val="0"/>
  </w:num>
  <w:num w:numId="2" w16cid:durableId="459418546">
    <w:abstractNumId w:val="2"/>
  </w:num>
  <w:num w:numId="3" w16cid:durableId="143354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p9sdx5beeze7eatrpxfep7t5tsxv5detdw&quot;&gt;My EndNote Library Copy&lt;record-ids&gt;&lt;item&gt;134&lt;/item&gt;&lt;item&gt;135&lt;/item&gt;&lt;/record-ids&gt;&lt;/item&gt;&lt;/Libraries&gt;"/>
  </w:docVars>
  <w:rsids>
    <w:rsidRoot w:val="001564A4"/>
    <w:rsid w:val="00050CA0"/>
    <w:rsid w:val="00062F5C"/>
    <w:rsid w:val="000C50BA"/>
    <w:rsid w:val="000F099D"/>
    <w:rsid w:val="00110B3D"/>
    <w:rsid w:val="001115F7"/>
    <w:rsid w:val="001564A4"/>
    <w:rsid w:val="0021573E"/>
    <w:rsid w:val="00237BF7"/>
    <w:rsid w:val="00272B7B"/>
    <w:rsid w:val="00273D2B"/>
    <w:rsid w:val="002B6CE9"/>
    <w:rsid w:val="002B7B04"/>
    <w:rsid w:val="002C5210"/>
    <w:rsid w:val="002D5E29"/>
    <w:rsid w:val="003002D7"/>
    <w:rsid w:val="00305EA0"/>
    <w:rsid w:val="00324018"/>
    <w:rsid w:val="00325918"/>
    <w:rsid w:val="003600F6"/>
    <w:rsid w:val="003A6DC8"/>
    <w:rsid w:val="003C2480"/>
    <w:rsid w:val="003F6C62"/>
    <w:rsid w:val="003F732B"/>
    <w:rsid w:val="00426521"/>
    <w:rsid w:val="00497999"/>
    <w:rsid w:val="004B722C"/>
    <w:rsid w:val="004D2C7E"/>
    <w:rsid w:val="0051574E"/>
    <w:rsid w:val="00586644"/>
    <w:rsid w:val="005B7052"/>
    <w:rsid w:val="005C67FD"/>
    <w:rsid w:val="0069729A"/>
    <w:rsid w:val="006A401D"/>
    <w:rsid w:val="006B6F18"/>
    <w:rsid w:val="006D20BC"/>
    <w:rsid w:val="006F31C6"/>
    <w:rsid w:val="00700B94"/>
    <w:rsid w:val="00774712"/>
    <w:rsid w:val="007D1AB9"/>
    <w:rsid w:val="007F6CEC"/>
    <w:rsid w:val="008418E9"/>
    <w:rsid w:val="00865DD2"/>
    <w:rsid w:val="008803FA"/>
    <w:rsid w:val="00880D00"/>
    <w:rsid w:val="00884375"/>
    <w:rsid w:val="00885E4B"/>
    <w:rsid w:val="008A5D30"/>
    <w:rsid w:val="008E07AD"/>
    <w:rsid w:val="00915836"/>
    <w:rsid w:val="00933A58"/>
    <w:rsid w:val="00937835"/>
    <w:rsid w:val="009427C5"/>
    <w:rsid w:val="009C676B"/>
    <w:rsid w:val="009F251C"/>
    <w:rsid w:val="009F6F41"/>
    <w:rsid w:val="00A9761C"/>
    <w:rsid w:val="00AC3D21"/>
    <w:rsid w:val="00B02558"/>
    <w:rsid w:val="00B0280B"/>
    <w:rsid w:val="00B12E32"/>
    <w:rsid w:val="00B75132"/>
    <w:rsid w:val="00B97136"/>
    <w:rsid w:val="00BB1D44"/>
    <w:rsid w:val="00C258FD"/>
    <w:rsid w:val="00CE75E7"/>
    <w:rsid w:val="00D01091"/>
    <w:rsid w:val="00D56928"/>
    <w:rsid w:val="00DE4068"/>
    <w:rsid w:val="00DE7533"/>
    <w:rsid w:val="00E0700F"/>
    <w:rsid w:val="00E60ACE"/>
    <w:rsid w:val="00EA26BC"/>
    <w:rsid w:val="00F00ADE"/>
    <w:rsid w:val="00F24292"/>
    <w:rsid w:val="00F76739"/>
    <w:rsid w:val="00F864ED"/>
    <w:rsid w:val="00FB760E"/>
    <w:rsid w:val="00FF040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237BF7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305E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EA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A0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D1AB9"/>
    <w:pPr>
      <w:jc w:val="center"/>
    </w:pPr>
    <w:rPr>
      <w:noProof/>
      <w:lang w:val="en-US"/>
    </w:rPr>
  </w:style>
  <w:style w:type="character" w:customStyle="1" w:styleId="DefaultChar">
    <w:name w:val="Default Char"/>
    <w:basedOn w:val="DefaultParagraphFont"/>
    <w:link w:val="Default"/>
    <w:rsid w:val="007D1AB9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7D1AB9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7D1AB9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7D1AB9"/>
    <w:rPr>
      <w:noProof/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7D1AB9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Crawford, Alice</cp:lastModifiedBy>
  <cp:revision>2</cp:revision>
  <dcterms:created xsi:type="dcterms:W3CDTF">2023-10-25T03:34:00Z</dcterms:created>
  <dcterms:modified xsi:type="dcterms:W3CDTF">2023-10-25T03:34:00Z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