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745FF" w14:textId="101241AA" w:rsidR="00160628" w:rsidRDefault="00160628" w:rsidP="00160628">
      <w:pPr>
        <w:rPr>
          <w:rFonts w:ascii="Arial" w:hAnsi="Arial" w:cs="Arial"/>
          <w:b/>
          <w:bCs/>
          <w:sz w:val="22"/>
          <w:szCs w:val="22"/>
        </w:rPr>
      </w:pPr>
      <w:r w:rsidRPr="00160628">
        <w:rPr>
          <w:rFonts w:ascii="Arial" w:hAnsi="Arial" w:cs="Arial"/>
          <w:b/>
          <w:bCs/>
          <w:sz w:val="22"/>
          <w:szCs w:val="22"/>
        </w:rPr>
        <w:t>Comparing the impact of intermittent fasting plus early time-restricted eating vs. calorie restriction on ultra-processed food consumption: exploratory analysis of a randomised controlled trial</w:t>
      </w:r>
    </w:p>
    <w:p w14:paraId="3A1F4F88" w14:textId="77777777" w:rsidR="00160628" w:rsidRPr="00160628" w:rsidRDefault="00160628" w:rsidP="00160628">
      <w:pPr>
        <w:rPr>
          <w:rFonts w:ascii="Arial" w:hAnsi="Arial" w:cs="Arial"/>
          <w:b/>
          <w:bCs/>
          <w:sz w:val="22"/>
          <w:szCs w:val="22"/>
        </w:rPr>
      </w:pPr>
    </w:p>
    <w:p w14:paraId="4346E50E" w14:textId="77777777" w:rsidR="007328B9" w:rsidRDefault="007328B9" w:rsidP="007328B9">
      <w:pPr>
        <w:rPr>
          <w:rFonts w:ascii="Arial" w:hAnsi="Arial" w:cs="Arial"/>
          <w:sz w:val="22"/>
          <w:szCs w:val="22"/>
        </w:rPr>
      </w:pPr>
      <w:r w:rsidRPr="00160628">
        <w:rPr>
          <w:rFonts w:ascii="Arial" w:hAnsi="Arial" w:cs="Arial"/>
          <w:b/>
          <w:bCs/>
          <w:sz w:val="22"/>
          <w:szCs w:val="22"/>
        </w:rPr>
        <w:t>Background:</w:t>
      </w:r>
      <w:r>
        <w:rPr>
          <w:rFonts w:ascii="Arial" w:hAnsi="Arial" w:cs="Arial" w:hint="eastAsia"/>
          <w:sz w:val="22"/>
          <w:szCs w:val="22"/>
        </w:rPr>
        <w:t xml:space="preserve"> </w:t>
      </w:r>
      <w:r w:rsidRPr="00160628">
        <w:rPr>
          <w:rFonts w:ascii="Arial" w:hAnsi="Arial" w:cs="Arial"/>
          <w:sz w:val="22"/>
          <w:szCs w:val="22"/>
        </w:rPr>
        <w:t>Ultra-processed food (UPF) is linked to weight gain and chronic disease risk. While intermittent fasting dietary approaches are effective for weight loss, little is known about their impact on UPF intake.</w:t>
      </w:r>
    </w:p>
    <w:p w14:paraId="11CE2786" w14:textId="77777777" w:rsidR="007328B9" w:rsidRPr="00160628" w:rsidRDefault="007328B9" w:rsidP="007328B9">
      <w:pPr>
        <w:rPr>
          <w:rFonts w:ascii="Arial" w:hAnsi="Arial" w:cs="Arial"/>
          <w:sz w:val="22"/>
          <w:szCs w:val="22"/>
        </w:rPr>
      </w:pPr>
    </w:p>
    <w:p w14:paraId="2CCF0690" w14:textId="77777777" w:rsidR="007328B9" w:rsidRPr="00160628" w:rsidRDefault="007328B9" w:rsidP="007328B9">
      <w:pPr>
        <w:rPr>
          <w:rFonts w:ascii="Arial" w:hAnsi="Arial" w:cs="Arial"/>
          <w:sz w:val="22"/>
          <w:szCs w:val="22"/>
        </w:rPr>
      </w:pPr>
      <w:r w:rsidRPr="00160628">
        <w:rPr>
          <w:rFonts w:ascii="Arial" w:hAnsi="Arial" w:cs="Arial"/>
          <w:b/>
          <w:bCs/>
          <w:sz w:val="22"/>
          <w:szCs w:val="22"/>
        </w:rPr>
        <w:t>Objective:</w:t>
      </w:r>
      <w:r w:rsidRPr="00160628">
        <w:rPr>
          <w:rFonts w:ascii="Arial" w:hAnsi="Arial" w:cs="Arial"/>
          <w:sz w:val="22"/>
          <w:szCs w:val="22"/>
        </w:rPr>
        <w:t xml:space="preserve"> Compare </w:t>
      </w:r>
      <w:r w:rsidRPr="00132ECC">
        <w:rPr>
          <w:rFonts w:ascii="Arial" w:hAnsi="Arial" w:cs="Arial"/>
          <w:sz w:val="22"/>
          <w:szCs w:val="22"/>
        </w:rPr>
        <w:t xml:space="preserve">mean daily absolute </w:t>
      </w:r>
      <w:r w:rsidRPr="00160628">
        <w:rPr>
          <w:rFonts w:ascii="Arial" w:hAnsi="Arial" w:cs="Arial"/>
          <w:sz w:val="22"/>
          <w:szCs w:val="22"/>
        </w:rPr>
        <w:t>UPF intake between intermittent fasting plus early time-restricted eating (</w:t>
      </w:r>
      <w:proofErr w:type="spellStart"/>
      <w:r w:rsidRPr="00160628">
        <w:rPr>
          <w:rFonts w:ascii="Arial" w:hAnsi="Arial" w:cs="Arial"/>
          <w:sz w:val="22"/>
          <w:szCs w:val="22"/>
        </w:rPr>
        <w:t>iTRE</w:t>
      </w:r>
      <w:proofErr w:type="spellEnd"/>
      <w:r w:rsidRPr="00160628">
        <w:rPr>
          <w:rFonts w:ascii="Arial" w:hAnsi="Arial" w:cs="Arial"/>
          <w:sz w:val="22"/>
          <w:szCs w:val="22"/>
        </w:rPr>
        <w:t>) versus calorie restriction (CR).</w:t>
      </w:r>
    </w:p>
    <w:p w14:paraId="1D3B95B6" w14:textId="77777777" w:rsidR="007328B9" w:rsidRPr="00160628" w:rsidRDefault="007328B9" w:rsidP="007328B9">
      <w:pPr>
        <w:rPr>
          <w:rFonts w:ascii="Arial" w:hAnsi="Arial" w:cs="Arial"/>
          <w:sz w:val="22"/>
          <w:szCs w:val="22"/>
        </w:rPr>
      </w:pPr>
    </w:p>
    <w:p w14:paraId="11EB20F7" w14:textId="77777777" w:rsidR="007328B9" w:rsidRPr="00160628" w:rsidRDefault="007328B9" w:rsidP="007328B9">
      <w:pPr>
        <w:rPr>
          <w:rFonts w:ascii="Arial" w:hAnsi="Arial" w:cs="Arial"/>
          <w:sz w:val="22"/>
          <w:szCs w:val="22"/>
        </w:rPr>
      </w:pPr>
      <w:r w:rsidRPr="00160628">
        <w:rPr>
          <w:rFonts w:ascii="Arial" w:hAnsi="Arial" w:cs="Arial"/>
          <w:b/>
          <w:bCs/>
          <w:sz w:val="22"/>
          <w:szCs w:val="22"/>
        </w:rPr>
        <w:t>Method:</w:t>
      </w:r>
      <w:r w:rsidRPr="00160628">
        <w:rPr>
          <w:rFonts w:ascii="Arial" w:hAnsi="Arial" w:cs="Arial"/>
          <w:sz w:val="22"/>
          <w:szCs w:val="22"/>
        </w:rPr>
        <w:t xml:space="preserve"> The randomised, open-label, three-arm trial comprised a 6-month intervention phase and a 12-month follow-up. Only participants in the active intervention arms who completed diet diaries</w:t>
      </w:r>
      <w:r>
        <w:rPr>
          <w:rFonts w:ascii="Arial" w:hAnsi="Arial" w:cs="Arial" w:hint="eastAsia"/>
          <w:sz w:val="22"/>
          <w:szCs w:val="22"/>
        </w:rPr>
        <w:t xml:space="preserve"> </w:t>
      </w:r>
      <w:r w:rsidRPr="00160628">
        <w:rPr>
          <w:rFonts w:ascii="Arial" w:hAnsi="Arial" w:cs="Arial"/>
          <w:sz w:val="22"/>
          <w:szCs w:val="22"/>
        </w:rPr>
        <w:t>at 6 months (</w:t>
      </w:r>
      <w:proofErr w:type="spellStart"/>
      <w:r w:rsidRPr="00160628">
        <w:rPr>
          <w:rFonts w:ascii="Arial" w:hAnsi="Arial" w:cs="Arial"/>
          <w:sz w:val="22"/>
          <w:szCs w:val="22"/>
        </w:rPr>
        <w:t>iTRE</w:t>
      </w:r>
      <w:proofErr w:type="spellEnd"/>
      <w:r w:rsidRPr="00160628">
        <w:rPr>
          <w:rFonts w:ascii="Arial" w:hAnsi="Arial" w:cs="Arial"/>
          <w:sz w:val="22"/>
          <w:szCs w:val="22"/>
        </w:rPr>
        <w:t>, n = 61, CR, n = 51) and 18 months (</w:t>
      </w:r>
      <w:proofErr w:type="spellStart"/>
      <w:r w:rsidRPr="00160628">
        <w:rPr>
          <w:rFonts w:ascii="Arial" w:hAnsi="Arial" w:cs="Arial"/>
          <w:sz w:val="22"/>
          <w:szCs w:val="22"/>
        </w:rPr>
        <w:t>iTRE</w:t>
      </w:r>
      <w:proofErr w:type="spellEnd"/>
      <w:r w:rsidRPr="00160628">
        <w:rPr>
          <w:rFonts w:ascii="Arial" w:hAnsi="Arial" w:cs="Arial"/>
          <w:sz w:val="22"/>
          <w:szCs w:val="22"/>
        </w:rPr>
        <w:t>, n = 45, CR, n = 43) were included.</w:t>
      </w:r>
      <w:r>
        <w:rPr>
          <w:rFonts w:ascii="Arial" w:hAnsi="Arial" w:cs="Arial" w:hint="eastAsia"/>
          <w:sz w:val="22"/>
          <w:szCs w:val="22"/>
        </w:rPr>
        <w:t xml:space="preserve"> </w:t>
      </w:r>
      <w:r w:rsidRPr="00160628">
        <w:rPr>
          <w:rFonts w:ascii="Arial" w:hAnsi="Arial" w:cs="Arial"/>
          <w:sz w:val="22"/>
          <w:szCs w:val="22"/>
        </w:rPr>
        <w:t xml:space="preserve">NOVA classification categorised food into four categories, with NOVA 4 being UPF. UPF was further classified as discretionary and non-discretionary </w:t>
      </w:r>
      <w:r>
        <w:rPr>
          <w:rFonts w:ascii="Arial" w:hAnsi="Arial" w:cs="Arial" w:hint="eastAsia"/>
          <w:sz w:val="22"/>
          <w:szCs w:val="22"/>
        </w:rPr>
        <w:t xml:space="preserve">under </w:t>
      </w:r>
      <w:r w:rsidRPr="00160628">
        <w:rPr>
          <w:rFonts w:ascii="Arial" w:hAnsi="Arial" w:cs="Arial"/>
          <w:sz w:val="22"/>
          <w:szCs w:val="22"/>
        </w:rPr>
        <w:t xml:space="preserve">Australian dietary guidelines.  ANCOVA and linear regression were used to evaluate differences in </w:t>
      </w:r>
      <w:r>
        <w:rPr>
          <w:rFonts w:ascii="Arial" w:hAnsi="Arial" w:cs="Arial" w:hint="eastAsia"/>
          <w:sz w:val="22"/>
          <w:szCs w:val="22"/>
        </w:rPr>
        <w:t>UPF</w:t>
      </w:r>
      <w:r w:rsidRPr="00160628">
        <w:rPr>
          <w:rFonts w:ascii="Arial" w:hAnsi="Arial" w:cs="Arial"/>
          <w:sz w:val="22"/>
          <w:szCs w:val="22"/>
        </w:rPr>
        <w:t xml:space="preserve"> intake and associations with </w:t>
      </w:r>
      <w:r>
        <w:rPr>
          <w:rFonts w:ascii="Arial" w:hAnsi="Arial" w:cs="Arial" w:hint="eastAsia"/>
          <w:sz w:val="22"/>
          <w:szCs w:val="22"/>
        </w:rPr>
        <w:t xml:space="preserve">health </w:t>
      </w:r>
      <w:r w:rsidRPr="00160628">
        <w:rPr>
          <w:rFonts w:ascii="Arial" w:hAnsi="Arial" w:cs="Arial"/>
          <w:sz w:val="22"/>
          <w:szCs w:val="22"/>
        </w:rPr>
        <w:t>outcomes, adjusting for age, sex, and baseline values.</w:t>
      </w:r>
    </w:p>
    <w:p w14:paraId="045C5FE7" w14:textId="77777777" w:rsidR="007328B9" w:rsidRPr="00160628" w:rsidRDefault="007328B9" w:rsidP="007328B9">
      <w:pPr>
        <w:rPr>
          <w:rFonts w:ascii="Arial" w:hAnsi="Arial" w:cs="Arial"/>
          <w:sz w:val="22"/>
          <w:szCs w:val="22"/>
        </w:rPr>
      </w:pPr>
    </w:p>
    <w:p w14:paraId="66D7CEEC" w14:textId="77777777" w:rsidR="007328B9" w:rsidRDefault="007328B9" w:rsidP="007328B9">
      <w:pPr>
        <w:rPr>
          <w:rFonts w:ascii="Arial" w:hAnsi="Arial" w:cs="Arial"/>
          <w:sz w:val="22"/>
          <w:szCs w:val="22"/>
        </w:rPr>
      </w:pPr>
      <w:r w:rsidRPr="00160628">
        <w:rPr>
          <w:rFonts w:ascii="Arial" w:hAnsi="Arial" w:cs="Arial"/>
          <w:b/>
          <w:bCs/>
          <w:sz w:val="22"/>
          <w:szCs w:val="22"/>
        </w:rPr>
        <w:t>Result:</w:t>
      </w:r>
      <w:r>
        <w:rPr>
          <w:rFonts w:ascii="Arial" w:hAnsi="Arial" w:cs="Arial" w:hint="eastAsia"/>
          <w:sz w:val="22"/>
          <w:szCs w:val="22"/>
        </w:rPr>
        <w:t xml:space="preserve"> </w:t>
      </w:r>
      <w:r w:rsidRPr="00160628">
        <w:rPr>
          <w:rFonts w:ascii="Arial" w:hAnsi="Arial" w:cs="Arial"/>
          <w:sz w:val="22"/>
          <w:szCs w:val="22"/>
        </w:rPr>
        <w:t xml:space="preserve">At 6 months, </w:t>
      </w:r>
      <w:proofErr w:type="spellStart"/>
      <w:r w:rsidRPr="00160628">
        <w:rPr>
          <w:rFonts w:ascii="Arial" w:hAnsi="Arial" w:cs="Arial"/>
          <w:sz w:val="22"/>
          <w:szCs w:val="22"/>
        </w:rPr>
        <w:t>iTRE</w:t>
      </w:r>
      <w:proofErr w:type="spellEnd"/>
      <w:r w:rsidRPr="00160628">
        <w:rPr>
          <w:rFonts w:ascii="Arial" w:hAnsi="Arial" w:cs="Arial"/>
          <w:sz w:val="22"/>
          <w:szCs w:val="22"/>
        </w:rPr>
        <w:t xml:space="preserve"> led to greater reduction in fasting glucose than CR (-3.6 mg dl</w:t>
      </w:r>
      <w:r w:rsidRPr="0019155C">
        <w:rPr>
          <w:rFonts w:ascii="Arial" w:hAnsi="Arial" w:cs="Arial"/>
          <w:sz w:val="22"/>
          <w:szCs w:val="22"/>
          <w:vertAlign w:val="superscript"/>
        </w:rPr>
        <w:t>−1</w:t>
      </w:r>
      <w:r w:rsidRPr="00160628">
        <w:rPr>
          <w:rFonts w:ascii="Arial" w:hAnsi="Arial" w:cs="Arial"/>
          <w:sz w:val="22"/>
          <w:szCs w:val="22"/>
        </w:rPr>
        <w:t xml:space="preserve"> [−6.5, −0.8], p = 0.01</w:t>
      </w:r>
      <w:r>
        <w:rPr>
          <w:rFonts w:ascii="Arial" w:hAnsi="Arial" w:cs="Arial" w:hint="eastAsia"/>
          <w:sz w:val="22"/>
          <w:szCs w:val="22"/>
        </w:rPr>
        <w:t>3</w:t>
      </w:r>
      <w:r w:rsidRPr="00160628">
        <w:rPr>
          <w:rFonts w:ascii="Arial" w:hAnsi="Arial" w:cs="Arial"/>
          <w:sz w:val="22"/>
          <w:szCs w:val="22"/>
        </w:rPr>
        <w:t xml:space="preserve">), but the reduction in body weight, total energy intake, insulin, triglycerides, and total cholesterol did not differ between groups (p &gt; 0.05). </w:t>
      </w:r>
      <w:r>
        <w:rPr>
          <w:rFonts w:ascii="Arial" w:hAnsi="Arial" w:cs="Arial" w:hint="eastAsia"/>
          <w:sz w:val="22"/>
          <w:szCs w:val="22"/>
        </w:rPr>
        <w:t>UPF</w:t>
      </w:r>
      <w:r w:rsidRPr="00160628">
        <w:rPr>
          <w:rFonts w:ascii="Arial" w:hAnsi="Arial" w:cs="Arial"/>
          <w:sz w:val="22"/>
          <w:szCs w:val="22"/>
        </w:rPr>
        <w:t xml:space="preserve"> </w:t>
      </w:r>
      <w:r>
        <w:rPr>
          <w:rFonts w:ascii="Arial" w:hAnsi="Arial" w:cs="Arial"/>
          <w:sz w:val="22"/>
          <w:szCs w:val="22"/>
        </w:rPr>
        <w:t>reduction</w:t>
      </w:r>
      <w:r>
        <w:rPr>
          <w:rFonts w:ascii="Arial" w:hAnsi="Arial" w:cs="Arial" w:hint="eastAsia"/>
          <w:sz w:val="22"/>
          <w:szCs w:val="22"/>
        </w:rPr>
        <w:t xml:space="preserve"> </w:t>
      </w:r>
      <w:r w:rsidRPr="00160628">
        <w:rPr>
          <w:rFonts w:ascii="Arial" w:hAnsi="Arial" w:cs="Arial"/>
          <w:sz w:val="22"/>
          <w:szCs w:val="22"/>
        </w:rPr>
        <w:t>was also not different between groups (</w:t>
      </w:r>
      <w:proofErr w:type="spellStart"/>
      <w:r w:rsidRPr="00160628">
        <w:rPr>
          <w:rFonts w:ascii="Arial" w:hAnsi="Arial" w:cs="Arial"/>
          <w:sz w:val="22"/>
          <w:szCs w:val="22"/>
        </w:rPr>
        <w:t>iTRE</w:t>
      </w:r>
      <w:proofErr w:type="spellEnd"/>
      <w:r w:rsidRPr="00160628">
        <w:rPr>
          <w:rFonts w:ascii="Arial" w:hAnsi="Arial" w:cs="Arial"/>
          <w:sz w:val="22"/>
          <w:szCs w:val="22"/>
        </w:rPr>
        <w:t xml:space="preserve">: −1084.7 kJ [−1277.2, −892.2]; CR: −1127.1 kJ [−1337.6, −916.5], p = 0.089).  However, </w:t>
      </w:r>
      <w:proofErr w:type="spellStart"/>
      <w:r w:rsidRPr="00160628">
        <w:rPr>
          <w:rFonts w:ascii="Arial" w:hAnsi="Arial" w:cs="Arial"/>
          <w:sz w:val="22"/>
          <w:szCs w:val="22"/>
        </w:rPr>
        <w:t>iTRE</w:t>
      </w:r>
      <w:proofErr w:type="spellEnd"/>
      <w:r w:rsidRPr="00160628">
        <w:rPr>
          <w:rFonts w:ascii="Arial" w:hAnsi="Arial" w:cs="Arial"/>
          <w:sz w:val="22"/>
          <w:szCs w:val="22"/>
        </w:rPr>
        <w:t xml:space="preserve"> consumed more discretionary</w:t>
      </w:r>
      <w:r>
        <w:rPr>
          <w:rFonts w:ascii="Arial" w:hAnsi="Arial" w:cs="Arial" w:hint="eastAsia"/>
          <w:sz w:val="22"/>
          <w:szCs w:val="22"/>
        </w:rPr>
        <w:t xml:space="preserve"> </w:t>
      </w:r>
      <w:r w:rsidRPr="00160628">
        <w:rPr>
          <w:rFonts w:ascii="Arial" w:hAnsi="Arial" w:cs="Arial"/>
          <w:sz w:val="22"/>
          <w:szCs w:val="22"/>
        </w:rPr>
        <w:t xml:space="preserve">UPF (382.9 kJ [143.2, 622.6], p = 0.002). At 18 months, the same </w:t>
      </w:r>
      <w:r>
        <w:rPr>
          <w:rFonts w:ascii="Arial" w:hAnsi="Arial" w:cs="Arial"/>
          <w:sz w:val="22"/>
          <w:szCs w:val="22"/>
        </w:rPr>
        <w:t xml:space="preserve">diet </w:t>
      </w:r>
      <w:r w:rsidRPr="00160628">
        <w:rPr>
          <w:rFonts w:ascii="Arial" w:hAnsi="Arial" w:cs="Arial"/>
          <w:sz w:val="22"/>
          <w:szCs w:val="22"/>
        </w:rPr>
        <w:t>pattern w</w:t>
      </w:r>
      <w:r>
        <w:rPr>
          <w:rFonts w:ascii="Arial" w:hAnsi="Arial" w:cs="Arial"/>
          <w:sz w:val="22"/>
          <w:szCs w:val="22"/>
        </w:rPr>
        <w:t>as</w:t>
      </w:r>
      <w:r w:rsidRPr="00160628">
        <w:rPr>
          <w:rFonts w:ascii="Arial" w:hAnsi="Arial" w:cs="Arial"/>
          <w:sz w:val="22"/>
          <w:szCs w:val="22"/>
        </w:rPr>
        <w:t xml:space="preserve"> observed. Neither discretionary nor non-discretionary</w:t>
      </w:r>
      <w:r>
        <w:rPr>
          <w:rFonts w:ascii="Arial" w:hAnsi="Arial" w:cs="Arial" w:hint="eastAsia"/>
          <w:sz w:val="22"/>
          <w:szCs w:val="22"/>
        </w:rPr>
        <w:t xml:space="preserve"> </w:t>
      </w:r>
      <w:r w:rsidRPr="00160628">
        <w:rPr>
          <w:rFonts w:ascii="Arial" w:hAnsi="Arial" w:cs="Arial"/>
          <w:sz w:val="22"/>
          <w:szCs w:val="22"/>
        </w:rPr>
        <w:t>UPF was linked to weight loss, fasting glucose, triglycerides, or cholesterol</w:t>
      </w:r>
      <w:r>
        <w:rPr>
          <w:rFonts w:ascii="Arial" w:hAnsi="Arial" w:cs="Arial"/>
          <w:sz w:val="22"/>
          <w:szCs w:val="22"/>
        </w:rPr>
        <w:t xml:space="preserve"> at 6 months</w:t>
      </w:r>
      <w:r w:rsidRPr="00160628">
        <w:rPr>
          <w:rFonts w:ascii="Arial" w:hAnsi="Arial" w:cs="Arial"/>
          <w:sz w:val="22"/>
          <w:szCs w:val="22"/>
        </w:rPr>
        <w:t>.</w:t>
      </w:r>
      <w:r>
        <w:rPr>
          <w:rFonts w:ascii="Arial" w:hAnsi="Arial" w:cs="Arial" w:hint="eastAsia"/>
          <w:sz w:val="22"/>
          <w:szCs w:val="22"/>
        </w:rPr>
        <w:t xml:space="preserve"> </w:t>
      </w:r>
      <w:r w:rsidRPr="00160628">
        <w:rPr>
          <w:rFonts w:ascii="Arial" w:hAnsi="Arial" w:cs="Arial"/>
          <w:sz w:val="22"/>
          <w:szCs w:val="22"/>
        </w:rPr>
        <w:t>But discretionary</w:t>
      </w:r>
      <w:r>
        <w:rPr>
          <w:rFonts w:ascii="Arial" w:hAnsi="Arial" w:cs="Arial" w:hint="eastAsia"/>
          <w:sz w:val="22"/>
          <w:szCs w:val="22"/>
        </w:rPr>
        <w:t xml:space="preserve"> </w:t>
      </w:r>
      <w:r w:rsidRPr="00160628">
        <w:rPr>
          <w:rFonts w:ascii="Arial" w:hAnsi="Arial" w:cs="Arial"/>
          <w:sz w:val="22"/>
          <w:szCs w:val="22"/>
        </w:rPr>
        <w:t>UPF intake was positively linked to fasting insulin (β =0.0019, p = 0.049), whereas non-discretionary</w:t>
      </w:r>
      <w:r>
        <w:rPr>
          <w:rFonts w:ascii="Arial" w:hAnsi="Arial" w:cs="Arial" w:hint="eastAsia"/>
          <w:sz w:val="22"/>
          <w:szCs w:val="22"/>
        </w:rPr>
        <w:t xml:space="preserve"> </w:t>
      </w:r>
      <w:r w:rsidRPr="00160628">
        <w:rPr>
          <w:rFonts w:ascii="Arial" w:hAnsi="Arial" w:cs="Arial"/>
          <w:sz w:val="22"/>
          <w:szCs w:val="22"/>
        </w:rPr>
        <w:t>UPF intake was inversely linked (β = -0.0036, p = 0.015).</w:t>
      </w:r>
    </w:p>
    <w:p w14:paraId="002A21CF" w14:textId="77777777" w:rsidR="007328B9" w:rsidRPr="00160628" w:rsidRDefault="007328B9" w:rsidP="007328B9">
      <w:pPr>
        <w:rPr>
          <w:rFonts w:ascii="Arial" w:hAnsi="Arial" w:cs="Arial"/>
          <w:sz w:val="22"/>
          <w:szCs w:val="22"/>
        </w:rPr>
      </w:pPr>
    </w:p>
    <w:p w14:paraId="3083AA2A" w14:textId="6B5FAF27" w:rsidR="00160628" w:rsidRPr="00160628" w:rsidRDefault="007328B9" w:rsidP="007328B9">
      <w:pPr>
        <w:rPr>
          <w:rFonts w:ascii="Arial" w:hAnsi="Arial" w:cs="Arial"/>
          <w:sz w:val="22"/>
          <w:szCs w:val="22"/>
        </w:rPr>
      </w:pPr>
      <w:r w:rsidRPr="00160628">
        <w:rPr>
          <w:rFonts w:ascii="Arial" w:hAnsi="Arial" w:cs="Arial"/>
          <w:b/>
          <w:bCs/>
          <w:sz w:val="22"/>
          <w:szCs w:val="22"/>
        </w:rPr>
        <w:t>Conclusion:</w:t>
      </w:r>
      <w:r w:rsidRPr="00160628">
        <w:rPr>
          <w:rFonts w:ascii="Arial" w:hAnsi="Arial" w:cs="Arial"/>
          <w:sz w:val="22"/>
          <w:szCs w:val="22"/>
        </w:rPr>
        <w:t xml:space="preserve"> Although </w:t>
      </w:r>
      <w:proofErr w:type="spellStart"/>
      <w:r w:rsidRPr="00160628">
        <w:rPr>
          <w:rFonts w:ascii="Arial" w:hAnsi="Arial" w:cs="Arial"/>
          <w:sz w:val="22"/>
          <w:szCs w:val="22"/>
        </w:rPr>
        <w:t>iTRE</w:t>
      </w:r>
      <w:proofErr w:type="spellEnd"/>
      <w:r w:rsidRPr="00160628">
        <w:rPr>
          <w:rFonts w:ascii="Arial" w:hAnsi="Arial" w:cs="Arial"/>
          <w:sz w:val="22"/>
          <w:szCs w:val="22"/>
        </w:rPr>
        <w:t xml:space="preserve"> consumed more discretionary</w:t>
      </w:r>
      <w:r>
        <w:rPr>
          <w:rFonts w:ascii="Arial" w:hAnsi="Arial" w:cs="Arial" w:hint="eastAsia"/>
          <w:sz w:val="22"/>
          <w:szCs w:val="22"/>
        </w:rPr>
        <w:t xml:space="preserve"> </w:t>
      </w:r>
      <w:r w:rsidRPr="00160628">
        <w:rPr>
          <w:rFonts w:ascii="Arial" w:hAnsi="Arial" w:cs="Arial"/>
          <w:sz w:val="22"/>
          <w:szCs w:val="22"/>
        </w:rPr>
        <w:t xml:space="preserve">UPF than </w:t>
      </w:r>
      <w:r>
        <w:rPr>
          <w:rFonts w:ascii="Arial" w:hAnsi="Arial" w:cs="Arial" w:hint="eastAsia"/>
          <w:sz w:val="22"/>
          <w:szCs w:val="22"/>
        </w:rPr>
        <w:t>daily CR</w:t>
      </w:r>
      <w:r w:rsidRPr="00160628">
        <w:rPr>
          <w:rFonts w:ascii="Arial" w:hAnsi="Arial" w:cs="Arial"/>
          <w:sz w:val="22"/>
          <w:szCs w:val="22"/>
        </w:rPr>
        <w:t>, it did not adversely impact the health outcomes during weight loss.</w:t>
      </w:r>
    </w:p>
    <w:p w14:paraId="30446440" w14:textId="77777777" w:rsidR="00412D40" w:rsidRPr="00160628" w:rsidRDefault="00412D40">
      <w:pPr>
        <w:rPr>
          <w:rFonts w:ascii="Arial" w:hAnsi="Arial" w:cs="Arial"/>
          <w:sz w:val="22"/>
          <w:szCs w:val="22"/>
        </w:rPr>
      </w:pPr>
    </w:p>
    <w:sectPr w:rsidR="00412D40" w:rsidRPr="001606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74F"/>
    <w:rsid w:val="00132ECC"/>
    <w:rsid w:val="00160628"/>
    <w:rsid w:val="00180DDB"/>
    <w:rsid w:val="0019155C"/>
    <w:rsid w:val="00412D40"/>
    <w:rsid w:val="00434A1B"/>
    <w:rsid w:val="00503BC8"/>
    <w:rsid w:val="007328B9"/>
    <w:rsid w:val="00733349"/>
    <w:rsid w:val="00C47CD9"/>
    <w:rsid w:val="00C6474F"/>
    <w:rsid w:val="00F224A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3DB1C"/>
  <w15:chartTrackingRefBased/>
  <w15:docId w15:val="{89B1B168-6FCE-4878-BF40-3BEB27897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47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47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47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47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47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47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47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47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47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7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47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47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47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47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47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47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47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474F"/>
    <w:rPr>
      <w:rFonts w:eastAsiaTheme="majorEastAsia" w:cstheme="majorBidi"/>
      <w:color w:val="272727" w:themeColor="text1" w:themeTint="D8"/>
    </w:rPr>
  </w:style>
  <w:style w:type="paragraph" w:styleId="Title">
    <w:name w:val="Title"/>
    <w:basedOn w:val="Normal"/>
    <w:next w:val="Normal"/>
    <w:link w:val="TitleChar"/>
    <w:uiPriority w:val="10"/>
    <w:qFormat/>
    <w:rsid w:val="00C647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47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47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47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474F"/>
    <w:pPr>
      <w:spacing w:before="160"/>
      <w:jc w:val="center"/>
    </w:pPr>
    <w:rPr>
      <w:i/>
      <w:iCs/>
      <w:color w:val="404040" w:themeColor="text1" w:themeTint="BF"/>
    </w:rPr>
  </w:style>
  <w:style w:type="character" w:customStyle="1" w:styleId="QuoteChar">
    <w:name w:val="Quote Char"/>
    <w:basedOn w:val="DefaultParagraphFont"/>
    <w:link w:val="Quote"/>
    <w:uiPriority w:val="29"/>
    <w:rsid w:val="00C6474F"/>
    <w:rPr>
      <w:i/>
      <w:iCs/>
      <w:color w:val="404040" w:themeColor="text1" w:themeTint="BF"/>
    </w:rPr>
  </w:style>
  <w:style w:type="paragraph" w:styleId="ListParagraph">
    <w:name w:val="List Paragraph"/>
    <w:basedOn w:val="Normal"/>
    <w:uiPriority w:val="34"/>
    <w:qFormat/>
    <w:rsid w:val="00C6474F"/>
    <w:pPr>
      <w:ind w:left="720"/>
      <w:contextualSpacing/>
    </w:pPr>
  </w:style>
  <w:style w:type="character" w:styleId="IntenseEmphasis">
    <w:name w:val="Intense Emphasis"/>
    <w:basedOn w:val="DefaultParagraphFont"/>
    <w:uiPriority w:val="21"/>
    <w:qFormat/>
    <w:rsid w:val="00C6474F"/>
    <w:rPr>
      <w:i/>
      <w:iCs/>
      <w:color w:val="0F4761" w:themeColor="accent1" w:themeShade="BF"/>
    </w:rPr>
  </w:style>
  <w:style w:type="paragraph" w:styleId="IntenseQuote">
    <w:name w:val="Intense Quote"/>
    <w:basedOn w:val="Normal"/>
    <w:next w:val="Normal"/>
    <w:link w:val="IntenseQuoteChar"/>
    <w:uiPriority w:val="30"/>
    <w:qFormat/>
    <w:rsid w:val="00C647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474F"/>
    <w:rPr>
      <w:i/>
      <w:iCs/>
      <w:color w:val="0F4761" w:themeColor="accent1" w:themeShade="BF"/>
    </w:rPr>
  </w:style>
  <w:style w:type="character" w:styleId="IntenseReference">
    <w:name w:val="Intense Reference"/>
    <w:basedOn w:val="DefaultParagraphFont"/>
    <w:uiPriority w:val="32"/>
    <w:qFormat/>
    <w:rsid w:val="00C647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324</Words>
  <Characters>1859</Characters>
  <Application>Microsoft Office Word</Application>
  <DocSecurity>0</DocSecurity>
  <Lines>33</Lines>
  <Paragraphs>6</Paragraphs>
  <ScaleCrop>false</ScaleCrop>
  <HeadingPairs>
    <vt:vector size="2" baseType="variant">
      <vt:variant>
        <vt:lpstr>Title</vt:lpstr>
      </vt:variant>
      <vt:variant>
        <vt:i4>1</vt:i4>
      </vt:variant>
    </vt:vector>
  </HeadingPairs>
  <TitlesOfParts>
    <vt:vector size="1" baseType="lpstr">
      <vt:lpstr/>
    </vt:vector>
  </TitlesOfParts>
  <Company>The University of Adelaide</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Ruofei Cheng</dc:creator>
  <cp:keywords/>
  <dc:description/>
  <cp:lastModifiedBy>Ruofei Cheng</cp:lastModifiedBy>
  <cp:revision>4</cp:revision>
  <dcterms:created xsi:type="dcterms:W3CDTF">2026-03-15T23:29:00Z</dcterms:created>
  <dcterms:modified xsi:type="dcterms:W3CDTF">2026-03-16T02:11:00Z</dcterms:modified>
</cp:coreProperties>
</file>