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49C9" w14:textId="1BE3F535" w:rsidR="00BF2783" w:rsidRDefault="00BF2783" w:rsidP="00381802">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Title:</w:t>
      </w:r>
      <w:r>
        <w:rPr>
          <w:rFonts w:ascii="Arial" w:hAnsi="Arial" w:cs="Arial"/>
          <w:color w:val="000000"/>
          <w:sz w:val="22"/>
          <w:szCs w:val="22"/>
        </w:rPr>
        <w:t xml:space="preserve"> Cardiac amyloidosis preferentially compromises subendocardial LV wall thickening</w:t>
      </w:r>
      <w:r w:rsidR="00381802">
        <w:rPr>
          <w:rFonts w:ascii="Arial" w:hAnsi="Arial" w:cs="Arial"/>
          <w:color w:val="000000"/>
          <w:sz w:val="22"/>
          <w:szCs w:val="22"/>
        </w:rPr>
        <w:t xml:space="preserve"> strain</w:t>
      </w:r>
      <w:r>
        <w:rPr>
          <w:rFonts w:ascii="Arial" w:hAnsi="Arial" w:cs="Arial"/>
          <w:color w:val="000000"/>
          <w:sz w:val="22"/>
          <w:szCs w:val="22"/>
        </w:rPr>
        <w:t xml:space="preserve"> but not torsion </w:t>
      </w:r>
    </w:p>
    <w:p w14:paraId="744FC89C" w14:textId="77777777" w:rsidR="00381802" w:rsidRDefault="00381802" w:rsidP="00381802">
      <w:pPr>
        <w:pStyle w:val="NormalWeb"/>
        <w:spacing w:before="0" w:beforeAutospacing="0" w:after="0" w:afterAutospacing="0"/>
      </w:pPr>
    </w:p>
    <w:p w14:paraId="23439B62" w14:textId="77777777" w:rsidR="00381802" w:rsidRPr="00381802" w:rsidRDefault="00381802" w:rsidP="00381802">
      <w:pPr>
        <w:rPr>
          <w:rFonts w:ascii="Arial" w:hAnsi="Arial" w:cs="Arial"/>
          <w:sz w:val="22"/>
          <w:szCs w:val="22"/>
          <w:lang w:val="en-NZ"/>
        </w:rPr>
      </w:pPr>
      <w:r w:rsidRPr="00381802">
        <w:rPr>
          <w:rFonts w:ascii="Arial" w:hAnsi="Arial" w:cs="Arial"/>
          <w:b/>
          <w:bCs/>
          <w:sz w:val="22"/>
          <w:szCs w:val="22"/>
          <w:lang w:val="en-NZ"/>
        </w:rPr>
        <w:t>Background:</w:t>
      </w:r>
      <w:r w:rsidRPr="00381802">
        <w:rPr>
          <w:rFonts w:ascii="Arial" w:hAnsi="Arial" w:cs="Arial"/>
          <w:sz w:val="22"/>
          <w:szCs w:val="22"/>
          <w:lang w:val="en-NZ"/>
        </w:rPr>
        <w:t xml:space="preserve"> Deposition of amyloid fibrils in patients with cardiac amyloidosis (CA) leads to thickening and stiffening of the left ventricular (LV) wall. Cardiac magnetic resonance (CMR) imaging derived LV strains can serve as diagnostic indicators, but regional strain patterns in CA are unclear.</w:t>
      </w:r>
    </w:p>
    <w:p w14:paraId="73ACCDB9" w14:textId="77777777" w:rsidR="00381802" w:rsidRPr="00381802" w:rsidRDefault="00381802" w:rsidP="00381802">
      <w:pPr>
        <w:rPr>
          <w:rFonts w:ascii="Arial" w:hAnsi="Arial" w:cs="Arial"/>
          <w:sz w:val="22"/>
          <w:szCs w:val="22"/>
          <w:lang w:val="en-NZ"/>
        </w:rPr>
      </w:pPr>
    </w:p>
    <w:p w14:paraId="475D2B37" w14:textId="77777777" w:rsidR="00381802" w:rsidRPr="00381802" w:rsidRDefault="00381802" w:rsidP="00381802">
      <w:pPr>
        <w:rPr>
          <w:rFonts w:ascii="Arial" w:hAnsi="Arial" w:cs="Arial"/>
          <w:sz w:val="22"/>
          <w:szCs w:val="22"/>
          <w:lang w:val="en-NZ"/>
        </w:rPr>
      </w:pPr>
      <w:r w:rsidRPr="00381802">
        <w:rPr>
          <w:rFonts w:ascii="Arial" w:hAnsi="Arial" w:cs="Arial"/>
          <w:b/>
          <w:bCs/>
          <w:sz w:val="22"/>
          <w:szCs w:val="22"/>
          <w:lang w:val="en-NZ"/>
        </w:rPr>
        <w:t>Method:</w:t>
      </w:r>
      <w:r w:rsidRPr="00381802">
        <w:rPr>
          <w:rFonts w:ascii="Arial" w:hAnsi="Arial" w:cs="Arial"/>
          <w:sz w:val="22"/>
          <w:szCs w:val="22"/>
          <w:lang w:val="en-NZ"/>
        </w:rPr>
        <w:t xml:space="preserve"> In 12 participants (6 CA, 6 controls; 17/CEN/226), cine displacement encoding with stimulated echoes (DENSE) CMR images were acquired to quantify regional circumferential (ECC), longitudinal (ELL), wall thickening (ERR), and torsional (ECL) strains using a 3D biophysical modelling approach. Strain differences between patients with CA and controls were examined using two-sample t-tests.</w:t>
      </w:r>
    </w:p>
    <w:p w14:paraId="5C4FC44E" w14:textId="77777777" w:rsidR="00381802" w:rsidRPr="00381802" w:rsidRDefault="00381802" w:rsidP="00381802">
      <w:pPr>
        <w:rPr>
          <w:rFonts w:ascii="Arial" w:hAnsi="Arial" w:cs="Arial"/>
          <w:sz w:val="22"/>
          <w:szCs w:val="22"/>
          <w:lang w:val="en-NZ"/>
        </w:rPr>
      </w:pPr>
    </w:p>
    <w:p w14:paraId="7B2AD0AE" w14:textId="77777777" w:rsidR="00381802" w:rsidRPr="00381802" w:rsidRDefault="00381802" w:rsidP="00381802">
      <w:pPr>
        <w:rPr>
          <w:rFonts w:ascii="Arial" w:hAnsi="Arial" w:cs="Arial"/>
          <w:sz w:val="22"/>
          <w:szCs w:val="22"/>
          <w:lang w:val="en-NZ"/>
        </w:rPr>
      </w:pPr>
      <w:r w:rsidRPr="00381802">
        <w:rPr>
          <w:rFonts w:ascii="Arial" w:hAnsi="Arial" w:cs="Arial"/>
          <w:b/>
          <w:bCs/>
          <w:sz w:val="22"/>
          <w:szCs w:val="22"/>
          <w:lang w:val="en-NZ"/>
        </w:rPr>
        <w:t>Results:</w:t>
      </w:r>
      <w:r w:rsidRPr="00381802">
        <w:rPr>
          <w:rFonts w:ascii="Arial" w:hAnsi="Arial" w:cs="Arial"/>
          <w:sz w:val="22"/>
          <w:szCs w:val="22"/>
          <w:lang w:val="en-NZ"/>
        </w:rPr>
        <w:t xml:space="preserve"> Compared to control, CA was associated with significantly lower overall mean ECC (-0.19 ± 0.03 vs. -0.11 ± 0.04; p&lt;0.01), ELL (-0.16 ± 0.02 vs. -0.06 ± 0.03; p&lt;0.01), and ERR (0.59 ± 0.24 vs. 0.24 ± 0.10; p&lt;0.01). There was a greater reduction in subendocardial ERR (0.72 ± 0.26 vs. 0.26 ± 0.13; p&lt;0.01) compared to subepicardial ERR (0.45 ± 0.14 vs. 0.22 ± 0.07; p&lt;0.01). ECL was more variable in CA compared to control (</w:t>
      </w:r>
      <w:proofErr w:type="spellStart"/>
      <w:r w:rsidRPr="00381802">
        <w:rPr>
          <w:rFonts w:ascii="Arial" w:hAnsi="Arial" w:cs="Arial"/>
          <w:sz w:val="22"/>
          <w:szCs w:val="22"/>
          <w:lang w:val="en-NZ"/>
        </w:rPr>
        <w:t>CoV</w:t>
      </w:r>
      <w:proofErr w:type="spellEnd"/>
      <w:r w:rsidRPr="00381802">
        <w:rPr>
          <w:rFonts w:ascii="Arial" w:hAnsi="Arial" w:cs="Arial"/>
          <w:sz w:val="22"/>
          <w:szCs w:val="22"/>
          <w:lang w:val="en-NZ"/>
        </w:rPr>
        <w:t>: 0.42 vs. 0.11), while mean values were not significantly different.</w:t>
      </w:r>
    </w:p>
    <w:p w14:paraId="34949614" w14:textId="77777777" w:rsidR="00381802" w:rsidRPr="0000074D" w:rsidRDefault="00381802" w:rsidP="00381802">
      <w:pPr>
        <w:rPr>
          <w:rFonts w:ascii="Arial" w:hAnsi="Arial" w:cs="Arial"/>
          <w:sz w:val="22"/>
          <w:szCs w:val="22"/>
        </w:rPr>
      </w:pPr>
      <w:r w:rsidRPr="00381802">
        <w:rPr>
          <w:rFonts w:ascii="Arial" w:hAnsi="Arial" w:cs="Arial"/>
          <w:sz w:val="22"/>
          <w:szCs w:val="22"/>
          <w:lang w:val="en-NZ"/>
        </w:rPr>
        <w:br/>
      </w:r>
      <w:r w:rsidRPr="00381802">
        <w:rPr>
          <w:rFonts w:ascii="Arial" w:hAnsi="Arial" w:cs="Arial"/>
          <w:b/>
          <w:bCs/>
          <w:sz w:val="22"/>
          <w:szCs w:val="22"/>
          <w:lang w:val="en-NZ"/>
        </w:rPr>
        <w:t>Conclusion:</w:t>
      </w:r>
      <w:r w:rsidRPr="00381802">
        <w:rPr>
          <w:rFonts w:ascii="Arial" w:hAnsi="Arial" w:cs="Arial"/>
          <w:sz w:val="22"/>
          <w:szCs w:val="22"/>
          <w:lang w:val="en-NZ"/>
        </w:rPr>
        <w:t xml:space="preserve"> Patients with CA exhibited more variable torsional strain, with a diminished transmural gradient of wall thickening strain compared to control. This motivates studies into the potential clinical role of regional strain estimates, </w:t>
      </w:r>
      <w:proofErr w:type="gramStart"/>
      <w:r w:rsidRPr="00381802">
        <w:rPr>
          <w:rFonts w:ascii="Arial" w:hAnsi="Arial" w:cs="Arial"/>
          <w:sz w:val="22"/>
          <w:szCs w:val="22"/>
          <w:lang w:val="en-NZ"/>
        </w:rPr>
        <w:t>in particular for</w:t>
      </w:r>
      <w:proofErr w:type="gramEnd"/>
      <w:r w:rsidRPr="00381802">
        <w:rPr>
          <w:rFonts w:ascii="Arial" w:hAnsi="Arial" w:cs="Arial"/>
          <w:sz w:val="22"/>
          <w:szCs w:val="22"/>
          <w:lang w:val="en-NZ"/>
        </w:rPr>
        <w:t xml:space="preserve"> discriminating LVH phenocopies.</w:t>
      </w:r>
    </w:p>
    <w:p w14:paraId="236EE303" w14:textId="77777777" w:rsidR="0000074D" w:rsidRPr="0000074D" w:rsidRDefault="0000074D" w:rsidP="0000074D">
      <w:pPr>
        <w:rPr>
          <w:rFonts w:ascii="Arial" w:hAnsi="Arial" w:cs="Arial"/>
          <w:sz w:val="22"/>
          <w:szCs w:val="22"/>
        </w:rPr>
      </w:pPr>
    </w:p>
    <w:p w14:paraId="7007BFA8" w14:textId="77777777" w:rsidR="0000074D" w:rsidRPr="0000074D" w:rsidRDefault="0000074D" w:rsidP="0000074D">
      <w:pPr>
        <w:rPr>
          <w:rFonts w:ascii="Arial" w:hAnsi="Arial" w:cs="Arial"/>
          <w:sz w:val="22"/>
          <w:szCs w:val="22"/>
        </w:rPr>
      </w:pPr>
    </w:p>
    <w:p w14:paraId="7A4ECDF7" w14:textId="77777777" w:rsidR="002A343C" w:rsidRDefault="002A343C" w:rsidP="002A343C">
      <w:pPr>
        <w:rPr>
          <w:rFonts w:ascii="Arial" w:hAnsi="Arial" w:cs="Arial"/>
          <w:sz w:val="22"/>
          <w:szCs w:val="22"/>
        </w:rPr>
      </w:pPr>
    </w:p>
    <w:p w14:paraId="0A99445D" w14:textId="77777777" w:rsidR="00897662" w:rsidRDefault="00897662" w:rsidP="002A343C">
      <w:pPr>
        <w:rPr>
          <w:rFonts w:ascii="Arial" w:hAnsi="Arial" w:cs="Arial"/>
          <w:sz w:val="22"/>
          <w:szCs w:val="22"/>
        </w:rPr>
      </w:pPr>
    </w:p>
    <w:p w14:paraId="715EA805" w14:textId="2215394A" w:rsidR="00D131DE" w:rsidRPr="0000074D" w:rsidRDefault="00D131DE" w:rsidP="00381802">
      <w:pPr>
        <w:rPr>
          <w:rFonts w:ascii="Arial" w:hAnsi="Arial" w:cs="Arial"/>
          <w:sz w:val="22"/>
          <w:szCs w:val="22"/>
        </w:rPr>
      </w:pPr>
    </w:p>
    <w:sectPr w:rsidR="00D131DE" w:rsidRPr="00000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00074D"/>
    <w:rsid w:val="002A343C"/>
    <w:rsid w:val="00381802"/>
    <w:rsid w:val="007A6530"/>
    <w:rsid w:val="008719CD"/>
    <w:rsid w:val="00897662"/>
    <w:rsid w:val="00BF2783"/>
    <w:rsid w:val="00CF4663"/>
    <w:rsid w:val="00D131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783"/>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24796">
      <w:bodyDiv w:val="1"/>
      <w:marLeft w:val="0"/>
      <w:marRight w:val="0"/>
      <w:marTop w:val="0"/>
      <w:marBottom w:val="0"/>
      <w:divBdr>
        <w:top w:val="none" w:sz="0" w:space="0" w:color="auto"/>
        <w:left w:val="none" w:sz="0" w:space="0" w:color="auto"/>
        <w:bottom w:val="none" w:sz="0" w:space="0" w:color="auto"/>
        <w:right w:val="none" w:sz="0" w:space="0" w:color="auto"/>
      </w:divBdr>
    </w:div>
    <w:div w:id="593712883">
      <w:bodyDiv w:val="1"/>
      <w:marLeft w:val="0"/>
      <w:marRight w:val="0"/>
      <w:marTop w:val="0"/>
      <w:marBottom w:val="0"/>
      <w:divBdr>
        <w:top w:val="none" w:sz="0" w:space="0" w:color="auto"/>
        <w:left w:val="none" w:sz="0" w:space="0" w:color="auto"/>
        <w:bottom w:val="none" w:sz="0" w:space="0" w:color="auto"/>
        <w:right w:val="none" w:sz="0" w:space="0" w:color="auto"/>
      </w:divBdr>
    </w:div>
    <w:div w:id="669720255">
      <w:bodyDiv w:val="1"/>
      <w:marLeft w:val="0"/>
      <w:marRight w:val="0"/>
      <w:marTop w:val="0"/>
      <w:marBottom w:val="0"/>
      <w:divBdr>
        <w:top w:val="none" w:sz="0" w:space="0" w:color="auto"/>
        <w:left w:val="none" w:sz="0" w:space="0" w:color="auto"/>
        <w:bottom w:val="none" w:sz="0" w:space="0" w:color="auto"/>
        <w:right w:val="none" w:sz="0" w:space="0" w:color="auto"/>
      </w:divBdr>
    </w:div>
    <w:div w:id="706029642">
      <w:bodyDiv w:val="1"/>
      <w:marLeft w:val="0"/>
      <w:marRight w:val="0"/>
      <w:marTop w:val="0"/>
      <w:marBottom w:val="0"/>
      <w:divBdr>
        <w:top w:val="none" w:sz="0" w:space="0" w:color="auto"/>
        <w:left w:val="none" w:sz="0" w:space="0" w:color="auto"/>
        <w:bottom w:val="none" w:sz="0" w:space="0" w:color="auto"/>
        <w:right w:val="none" w:sz="0" w:space="0" w:color="auto"/>
      </w:divBdr>
    </w:div>
    <w:div w:id="724841474">
      <w:bodyDiv w:val="1"/>
      <w:marLeft w:val="0"/>
      <w:marRight w:val="0"/>
      <w:marTop w:val="0"/>
      <w:marBottom w:val="0"/>
      <w:divBdr>
        <w:top w:val="none" w:sz="0" w:space="0" w:color="auto"/>
        <w:left w:val="none" w:sz="0" w:space="0" w:color="auto"/>
        <w:bottom w:val="none" w:sz="0" w:space="0" w:color="auto"/>
        <w:right w:val="none" w:sz="0" w:space="0" w:color="auto"/>
      </w:divBdr>
    </w:div>
    <w:div w:id="764837475">
      <w:bodyDiv w:val="1"/>
      <w:marLeft w:val="0"/>
      <w:marRight w:val="0"/>
      <w:marTop w:val="0"/>
      <w:marBottom w:val="0"/>
      <w:divBdr>
        <w:top w:val="none" w:sz="0" w:space="0" w:color="auto"/>
        <w:left w:val="none" w:sz="0" w:space="0" w:color="auto"/>
        <w:bottom w:val="none" w:sz="0" w:space="0" w:color="auto"/>
        <w:right w:val="none" w:sz="0" w:space="0" w:color="auto"/>
      </w:divBdr>
    </w:div>
    <w:div w:id="14576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F8FF-D0CF-40D1-8445-0C20231ECFB5}">
  <ds:schemaRefs>
    <ds:schemaRef ds:uri="http://schemas.microsoft.com/sharepoint/v3/contenttype/forms"/>
  </ds:schemaRefs>
</ds:datastoreItem>
</file>

<file path=customXml/itemProps3.xml><?xml version="1.0" encoding="utf-8"?>
<ds:datastoreItem xmlns:ds="http://schemas.openxmlformats.org/officeDocument/2006/customXml" ds:itemID="{340D2940-FFF9-4911-93F2-24AF4AD8706B}">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George Harpur</cp:lastModifiedBy>
  <cp:revision>2</cp:revision>
  <dcterms:created xsi:type="dcterms:W3CDTF">2025-02-17T02:48:00Z</dcterms:created>
  <dcterms:modified xsi:type="dcterms:W3CDTF">2025-02-17T02:48:00Z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