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8"/>
      </w:tblGrid>
      <w:tr w:rsidR="001564A4" w:rsidRPr="0050053A" w14:paraId="5C38377B" w14:textId="77777777" w:rsidTr="00DE7583">
        <w:trPr>
          <w:trHeight w:val="634"/>
          <w:jc w:val="center"/>
        </w:trPr>
        <w:tc>
          <w:tcPr>
            <w:tcW w:w="8238" w:type="dxa"/>
            <w:shd w:val="clear" w:color="auto" w:fill="auto"/>
          </w:tcPr>
          <w:p w14:paraId="5C44F357" w14:textId="0E9C2EE6" w:rsidR="001564A4" w:rsidRPr="0050053A" w:rsidRDefault="00DE7583" w:rsidP="000A28E2">
            <w:pPr>
              <w:spacing w:before="120" w:after="120"/>
              <w:rPr>
                <w:rFonts w:ascii="Arial" w:hAnsi="Arial" w:cs="Arial"/>
                <w:b/>
                <w:sz w:val="22"/>
                <w:szCs w:val="22"/>
                <w:lang w:val="en-US" w:eastAsia="zh-CN"/>
              </w:rPr>
            </w:pPr>
            <w:r>
              <w:rPr>
                <w:rFonts w:ascii="Arial" w:hAnsi="Arial" w:cs="Arial"/>
                <w:b/>
                <w:sz w:val="22"/>
                <w:szCs w:val="22"/>
                <w:lang w:val="en-US" w:eastAsia="zh-CN"/>
              </w:rPr>
              <w:t>T</w:t>
            </w:r>
            <w:r w:rsidRPr="00DE7583">
              <w:rPr>
                <w:rFonts w:ascii="Arial" w:hAnsi="Arial" w:cs="Arial"/>
                <w:b/>
                <w:sz w:val="22"/>
                <w:szCs w:val="22"/>
                <w:lang w:val="en-US" w:eastAsia="zh-CN"/>
              </w:rPr>
              <w:t xml:space="preserve">he </w:t>
            </w:r>
            <w:r w:rsidR="00F90FEE">
              <w:rPr>
                <w:rFonts w:ascii="Arial" w:hAnsi="Arial" w:cs="Arial"/>
                <w:b/>
                <w:sz w:val="22"/>
                <w:szCs w:val="22"/>
                <w:lang w:val="en-US" w:eastAsia="zh-CN"/>
              </w:rPr>
              <w:t xml:space="preserve">prevalence </w:t>
            </w:r>
            <w:r w:rsidR="00F90FEE" w:rsidRPr="00DE7583">
              <w:rPr>
                <w:rFonts w:ascii="Arial" w:hAnsi="Arial" w:cs="Arial"/>
                <w:b/>
                <w:sz w:val="22"/>
                <w:szCs w:val="22"/>
                <w:lang w:val="en-US" w:eastAsia="zh-CN"/>
              </w:rPr>
              <w:t>of treatable traits in patients with</w:t>
            </w:r>
            <w:r w:rsidR="00F90FEE">
              <w:rPr>
                <w:rFonts w:ascii="Arial" w:hAnsi="Arial" w:cs="Arial"/>
                <w:b/>
                <w:sz w:val="22"/>
                <w:szCs w:val="22"/>
                <w:lang w:val="en-US" w:eastAsia="zh-CN"/>
              </w:rPr>
              <w:t xml:space="preserve"> fibrosing interstitial lung disease</w:t>
            </w:r>
          </w:p>
        </w:tc>
      </w:tr>
      <w:tr w:rsidR="001564A4" w:rsidRPr="0050053A" w14:paraId="0E2E035C" w14:textId="77777777" w:rsidTr="00DE7583">
        <w:trPr>
          <w:trHeight w:val="634"/>
          <w:jc w:val="center"/>
        </w:trPr>
        <w:tc>
          <w:tcPr>
            <w:tcW w:w="8238" w:type="dxa"/>
            <w:shd w:val="clear" w:color="auto" w:fill="auto"/>
          </w:tcPr>
          <w:p w14:paraId="73B55295" w14:textId="7D9311F0" w:rsidR="001564A4" w:rsidRPr="00D40338" w:rsidRDefault="00B923EE" w:rsidP="00F90FEE">
            <w:pPr>
              <w:rPr>
                <w:rFonts w:ascii="Arial" w:hAnsi="Arial" w:cs="Arial"/>
                <w:sz w:val="22"/>
                <w:szCs w:val="22"/>
                <w:lang w:val="en-US"/>
              </w:rPr>
            </w:pPr>
            <w:r w:rsidRPr="00B923EE">
              <w:rPr>
                <w:rFonts w:ascii="Arial" w:hAnsi="Arial" w:cs="Arial"/>
                <w:sz w:val="22"/>
                <w:szCs w:val="22"/>
                <w:lang w:val="en-US"/>
              </w:rPr>
              <w:t>Chloe Lawler</w:t>
            </w:r>
            <w:r w:rsidRPr="00B923EE">
              <w:rPr>
                <w:rFonts w:ascii="Arial" w:hAnsi="Arial" w:cs="Arial"/>
                <w:sz w:val="22"/>
                <w:szCs w:val="22"/>
                <w:vertAlign w:val="superscript"/>
                <w:lang w:val="en-US"/>
              </w:rPr>
              <w:t>1,2</w:t>
            </w:r>
            <w:r w:rsidR="004D78D0">
              <w:rPr>
                <w:rFonts w:ascii="Arial" w:hAnsi="Arial" w:cs="Arial"/>
                <w:sz w:val="22"/>
                <w:szCs w:val="22"/>
                <w:vertAlign w:val="superscript"/>
                <w:lang w:val="en-US"/>
              </w:rPr>
              <w:t>,3</w:t>
            </w:r>
            <w:r w:rsidRPr="00B923EE">
              <w:rPr>
                <w:rFonts w:ascii="Arial" w:hAnsi="Arial" w:cs="Arial"/>
                <w:sz w:val="22"/>
                <w:szCs w:val="22"/>
                <w:lang w:val="en-US"/>
              </w:rPr>
              <w:t>,</w:t>
            </w:r>
            <w:r>
              <w:rPr>
                <w:rFonts w:ascii="Arial" w:hAnsi="Arial" w:cs="Arial"/>
                <w:sz w:val="22"/>
                <w:szCs w:val="22"/>
                <w:lang w:val="en-US"/>
              </w:rPr>
              <w:t xml:space="preserve"> </w:t>
            </w:r>
            <w:r w:rsidRPr="00B923EE">
              <w:rPr>
                <w:rFonts w:ascii="Arial" w:hAnsi="Arial" w:cs="Arial"/>
                <w:sz w:val="22"/>
                <w:szCs w:val="22"/>
                <w:lang w:val="en-US"/>
              </w:rPr>
              <w:t>Caitlin Fermoyle</w:t>
            </w:r>
            <w:r w:rsidRPr="00B923EE">
              <w:rPr>
                <w:rFonts w:ascii="Arial" w:hAnsi="Arial" w:cs="Arial"/>
                <w:sz w:val="22"/>
                <w:szCs w:val="22"/>
                <w:vertAlign w:val="superscript"/>
                <w:lang w:val="en-US"/>
              </w:rPr>
              <w:t>1,2</w:t>
            </w:r>
            <w:r w:rsidR="004D78D0">
              <w:rPr>
                <w:rFonts w:ascii="Arial" w:hAnsi="Arial" w:cs="Arial"/>
                <w:sz w:val="22"/>
                <w:szCs w:val="22"/>
                <w:vertAlign w:val="superscript"/>
                <w:lang w:val="en-US"/>
              </w:rPr>
              <w:t>,3</w:t>
            </w:r>
            <w:r w:rsidR="00D40338">
              <w:rPr>
                <w:rFonts w:ascii="Arial" w:hAnsi="Arial" w:cs="Arial"/>
                <w:sz w:val="22"/>
                <w:szCs w:val="22"/>
                <w:lang w:val="en-US"/>
              </w:rPr>
              <w:t xml:space="preserve">, </w:t>
            </w:r>
            <w:r w:rsidRPr="00B923EE">
              <w:rPr>
                <w:rFonts w:ascii="Arial" w:hAnsi="Arial" w:cs="Arial"/>
                <w:sz w:val="22"/>
                <w:szCs w:val="22"/>
                <w:lang w:val="en-US"/>
              </w:rPr>
              <w:t>Lauren Troy</w:t>
            </w:r>
            <w:r w:rsidRPr="00B923EE">
              <w:rPr>
                <w:rFonts w:ascii="Arial" w:hAnsi="Arial" w:cs="Arial"/>
                <w:sz w:val="22"/>
                <w:szCs w:val="22"/>
                <w:vertAlign w:val="superscript"/>
                <w:lang w:val="en-US"/>
              </w:rPr>
              <w:t>1,</w:t>
            </w:r>
            <w:r w:rsidR="004D78D0">
              <w:rPr>
                <w:rFonts w:ascii="Arial" w:hAnsi="Arial" w:cs="Arial"/>
                <w:sz w:val="22"/>
                <w:szCs w:val="22"/>
                <w:vertAlign w:val="superscript"/>
                <w:lang w:val="en-US"/>
              </w:rPr>
              <w:t>2,</w:t>
            </w:r>
            <w:r w:rsidRPr="00B923EE">
              <w:rPr>
                <w:rFonts w:ascii="Arial" w:hAnsi="Arial" w:cs="Arial"/>
                <w:sz w:val="22"/>
                <w:szCs w:val="22"/>
                <w:vertAlign w:val="superscript"/>
                <w:lang w:val="en-US"/>
              </w:rPr>
              <w:t>3</w:t>
            </w:r>
            <w:r w:rsidRPr="00B923EE">
              <w:rPr>
                <w:rFonts w:ascii="Arial" w:hAnsi="Arial" w:cs="Arial"/>
                <w:sz w:val="22"/>
                <w:szCs w:val="22"/>
                <w:lang w:val="en-US"/>
              </w:rPr>
              <w:t>,</w:t>
            </w:r>
            <w:r>
              <w:rPr>
                <w:rFonts w:ascii="Arial" w:hAnsi="Arial" w:cs="Arial"/>
                <w:sz w:val="22"/>
                <w:szCs w:val="22"/>
                <w:lang w:val="en-US"/>
              </w:rPr>
              <w:t xml:space="preserve"> </w:t>
            </w:r>
            <w:r w:rsidRPr="00B923EE">
              <w:rPr>
                <w:rFonts w:ascii="Arial" w:hAnsi="Arial" w:cs="Arial"/>
                <w:sz w:val="22"/>
                <w:szCs w:val="22"/>
                <w:lang w:val="en-US"/>
              </w:rPr>
              <w:t>Laura Glenn</w:t>
            </w:r>
            <w:r w:rsidRPr="00B923EE">
              <w:rPr>
                <w:rFonts w:ascii="Arial" w:hAnsi="Arial" w:cs="Arial"/>
                <w:sz w:val="22"/>
                <w:szCs w:val="22"/>
                <w:vertAlign w:val="superscript"/>
                <w:lang w:val="en-US"/>
              </w:rPr>
              <w:t>1,</w:t>
            </w:r>
            <w:r w:rsidR="004D78D0">
              <w:rPr>
                <w:rFonts w:ascii="Arial" w:hAnsi="Arial" w:cs="Arial"/>
                <w:sz w:val="22"/>
                <w:szCs w:val="22"/>
                <w:vertAlign w:val="superscript"/>
                <w:lang w:val="en-US"/>
              </w:rPr>
              <w:t>2,</w:t>
            </w:r>
            <w:r w:rsidRPr="00B923EE">
              <w:rPr>
                <w:rFonts w:ascii="Arial" w:hAnsi="Arial" w:cs="Arial"/>
                <w:sz w:val="22"/>
                <w:szCs w:val="22"/>
                <w:vertAlign w:val="superscript"/>
                <w:lang w:val="en-US"/>
              </w:rPr>
              <w:t>3</w:t>
            </w:r>
            <w:r w:rsidRPr="00B923EE">
              <w:rPr>
                <w:rFonts w:ascii="Arial" w:hAnsi="Arial" w:cs="Arial"/>
                <w:sz w:val="22"/>
                <w:szCs w:val="22"/>
                <w:lang w:val="en-US"/>
              </w:rPr>
              <w:t>,</w:t>
            </w:r>
            <w:r>
              <w:rPr>
                <w:rFonts w:ascii="Arial" w:hAnsi="Arial" w:cs="Arial"/>
                <w:sz w:val="22"/>
                <w:szCs w:val="22"/>
                <w:lang w:val="en-US"/>
              </w:rPr>
              <w:t xml:space="preserve"> </w:t>
            </w:r>
            <w:r w:rsidRPr="00B923EE">
              <w:rPr>
                <w:rFonts w:ascii="Arial" w:hAnsi="Arial" w:cs="Arial"/>
                <w:sz w:val="22"/>
                <w:szCs w:val="22"/>
                <w:lang w:val="en-US"/>
              </w:rPr>
              <w:t>Adelle Jee</w:t>
            </w:r>
            <w:r w:rsidRPr="00B923EE">
              <w:rPr>
                <w:rFonts w:ascii="Arial" w:hAnsi="Arial" w:cs="Arial"/>
                <w:sz w:val="22"/>
                <w:szCs w:val="22"/>
                <w:vertAlign w:val="superscript"/>
                <w:lang w:val="en-US"/>
              </w:rPr>
              <w:t>1,3</w:t>
            </w:r>
            <w:r>
              <w:rPr>
                <w:rFonts w:ascii="Arial" w:hAnsi="Arial" w:cs="Arial"/>
                <w:sz w:val="22"/>
                <w:szCs w:val="22"/>
                <w:lang w:val="en-US"/>
              </w:rPr>
              <w:t>,</w:t>
            </w:r>
            <w:r w:rsidR="00F90FEE">
              <w:rPr>
                <w:rFonts w:ascii="Arial" w:hAnsi="Arial" w:cs="Arial"/>
                <w:sz w:val="22"/>
                <w:szCs w:val="22"/>
                <w:lang w:val="en-US"/>
              </w:rPr>
              <w:t xml:space="preserve"> </w:t>
            </w:r>
            <w:r w:rsidRPr="00B923EE">
              <w:rPr>
                <w:rFonts w:ascii="Arial" w:hAnsi="Arial" w:cs="Arial"/>
                <w:sz w:val="22"/>
                <w:szCs w:val="22"/>
                <w:lang w:val="en-US"/>
              </w:rPr>
              <w:t>Alan Teoh</w:t>
            </w:r>
            <w:r w:rsidR="004D78D0">
              <w:rPr>
                <w:rFonts w:ascii="Arial" w:hAnsi="Arial" w:cs="Arial"/>
                <w:sz w:val="22"/>
                <w:szCs w:val="22"/>
                <w:vertAlign w:val="superscript"/>
                <w:lang w:val="en-US"/>
              </w:rPr>
              <w:t>1,2,3</w:t>
            </w:r>
            <w:r w:rsidR="000F5C9C" w:rsidRPr="00B923EE">
              <w:rPr>
                <w:rFonts w:ascii="Arial" w:hAnsi="Arial" w:cs="Arial"/>
                <w:sz w:val="22"/>
                <w:szCs w:val="22"/>
                <w:lang w:val="en-US"/>
              </w:rPr>
              <w:t>,</w:t>
            </w:r>
            <w:r>
              <w:rPr>
                <w:rFonts w:ascii="Arial" w:hAnsi="Arial" w:cs="Arial"/>
                <w:sz w:val="22"/>
                <w:szCs w:val="22"/>
                <w:lang w:val="en-US"/>
              </w:rPr>
              <w:t xml:space="preserve"> </w:t>
            </w:r>
            <w:r w:rsidRPr="00B923EE">
              <w:rPr>
                <w:rFonts w:ascii="Arial" w:hAnsi="Arial" w:cs="Arial"/>
                <w:sz w:val="22"/>
                <w:szCs w:val="22"/>
                <w:lang w:val="en-US"/>
              </w:rPr>
              <w:t>Helen Jo</w:t>
            </w:r>
            <w:r w:rsidRPr="00B923EE">
              <w:rPr>
                <w:rFonts w:ascii="Arial" w:hAnsi="Arial" w:cs="Arial"/>
                <w:sz w:val="22"/>
                <w:szCs w:val="22"/>
                <w:vertAlign w:val="superscript"/>
                <w:lang w:val="en-US"/>
              </w:rPr>
              <w:t>2,3</w:t>
            </w:r>
            <w:r>
              <w:rPr>
                <w:rFonts w:ascii="Arial" w:hAnsi="Arial" w:cs="Arial"/>
                <w:sz w:val="22"/>
                <w:szCs w:val="22"/>
                <w:lang w:val="en-US"/>
              </w:rPr>
              <w:t xml:space="preserve">, </w:t>
            </w:r>
            <w:r w:rsidRPr="00B923EE">
              <w:rPr>
                <w:rFonts w:ascii="Arial" w:hAnsi="Arial" w:cs="Arial"/>
                <w:sz w:val="22"/>
                <w:szCs w:val="22"/>
                <w:lang w:val="en-US"/>
              </w:rPr>
              <w:t>Dan Jackson</w:t>
            </w:r>
            <w:r w:rsidRPr="00B923EE">
              <w:rPr>
                <w:rFonts w:ascii="Arial" w:hAnsi="Arial" w:cs="Arial"/>
                <w:sz w:val="22"/>
                <w:szCs w:val="22"/>
                <w:vertAlign w:val="superscript"/>
                <w:lang w:val="en-US"/>
              </w:rPr>
              <w:t>1,2</w:t>
            </w:r>
            <w:r>
              <w:rPr>
                <w:rFonts w:ascii="Arial" w:hAnsi="Arial" w:cs="Arial"/>
                <w:sz w:val="22"/>
                <w:szCs w:val="22"/>
                <w:lang w:val="en-US"/>
              </w:rPr>
              <w:t xml:space="preserve">, </w:t>
            </w:r>
            <w:r w:rsidRPr="00B923EE">
              <w:rPr>
                <w:rFonts w:ascii="Arial" w:hAnsi="Arial" w:cs="Arial"/>
                <w:sz w:val="22"/>
                <w:szCs w:val="22"/>
                <w:lang w:val="en-US"/>
              </w:rPr>
              <w:t>Susanne Webster</w:t>
            </w:r>
            <w:r w:rsidRPr="00B923EE">
              <w:rPr>
                <w:rFonts w:ascii="Arial" w:hAnsi="Arial" w:cs="Arial"/>
                <w:sz w:val="22"/>
                <w:szCs w:val="22"/>
                <w:vertAlign w:val="superscript"/>
                <w:lang w:val="en-US"/>
              </w:rPr>
              <w:t>3</w:t>
            </w:r>
            <w:r>
              <w:rPr>
                <w:rFonts w:ascii="Arial" w:hAnsi="Arial" w:cs="Arial"/>
                <w:sz w:val="22"/>
                <w:szCs w:val="22"/>
                <w:lang w:val="en-US"/>
              </w:rPr>
              <w:t xml:space="preserve">, </w:t>
            </w:r>
            <w:r w:rsidRPr="00B923EE">
              <w:rPr>
                <w:rFonts w:ascii="Arial" w:hAnsi="Arial" w:cs="Arial"/>
                <w:sz w:val="22"/>
                <w:szCs w:val="22"/>
                <w:lang w:val="en-US"/>
              </w:rPr>
              <w:t>Monika Geis</w:t>
            </w:r>
            <w:r w:rsidRPr="00B923EE">
              <w:rPr>
                <w:rFonts w:ascii="Arial" w:hAnsi="Arial" w:cs="Arial"/>
                <w:sz w:val="22"/>
                <w:szCs w:val="22"/>
                <w:vertAlign w:val="superscript"/>
                <w:lang w:val="en-US"/>
              </w:rPr>
              <w:t>3</w:t>
            </w:r>
            <w:r>
              <w:rPr>
                <w:rFonts w:ascii="Arial" w:hAnsi="Arial" w:cs="Arial"/>
                <w:sz w:val="22"/>
                <w:szCs w:val="22"/>
                <w:lang w:val="en-US"/>
              </w:rPr>
              <w:t xml:space="preserve">, </w:t>
            </w:r>
            <w:r w:rsidRPr="00B923EE">
              <w:rPr>
                <w:rFonts w:ascii="Arial" w:hAnsi="Arial" w:cs="Arial"/>
                <w:sz w:val="22"/>
                <w:szCs w:val="22"/>
                <w:lang w:val="en-US"/>
              </w:rPr>
              <w:t>Tiffany He</w:t>
            </w:r>
            <w:r w:rsidRPr="00B923EE">
              <w:rPr>
                <w:rFonts w:ascii="Arial" w:hAnsi="Arial" w:cs="Arial"/>
                <w:sz w:val="22"/>
                <w:szCs w:val="22"/>
                <w:vertAlign w:val="superscript"/>
                <w:lang w:val="en-US"/>
              </w:rPr>
              <w:t>3</w:t>
            </w:r>
            <w:r>
              <w:rPr>
                <w:rFonts w:ascii="Arial" w:hAnsi="Arial" w:cs="Arial"/>
                <w:sz w:val="22"/>
                <w:szCs w:val="22"/>
                <w:lang w:val="en-US"/>
              </w:rPr>
              <w:t xml:space="preserve">, </w:t>
            </w:r>
            <w:r w:rsidRPr="00B923EE">
              <w:rPr>
                <w:rFonts w:ascii="Arial" w:hAnsi="Arial" w:cs="Arial"/>
                <w:sz w:val="22"/>
                <w:szCs w:val="22"/>
                <w:lang w:val="en-US"/>
              </w:rPr>
              <w:t>Tangxian Yuan</w:t>
            </w:r>
            <w:r w:rsidRPr="00B923EE">
              <w:rPr>
                <w:rFonts w:ascii="Arial" w:hAnsi="Arial" w:cs="Arial"/>
                <w:sz w:val="22"/>
                <w:szCs w:val="22"/>
                <w:vertAlign w:val="superscript"/>
                <w:lang w:val="en-US"/>
              </w:rPr>
              <w:t>3</w:t>
            </w:r>
            <w:r>
              <w:rPr>
                <w:rFonts w:ascii="Arial" w:hAnsi="Arial" w:cs="Arial"/>
                <w:sz w:val="22"/>
                <w:szCs w:val="22"/>
                <w:lang w:val="en-US"/>
              </w:rPr>
              <w:t xml:space="preserve">, </w:t>
            </w:r>
            <w:r w:rsidRPr="00B923EE">
              <w:rPr>
                <w:rFonts w:ascii="Arial" w:hAnsi="Arial" w:cs="Arial"/>
                <w:sz w:val="22"/>
                <w:szCs w:val="22"/>
                <w:lang w:val="en-US"/>
              </w:rPr>
              <w:t>Megan Harrison</w:t>
            </w:r>
            <w:r w:rsidRPr="00B923EE">
              <w:rPr>
                <w:rFonts w:ascii="Arial" w:hAnsi="Arial" w:cs="Arial"/>
                <w:sz w:val="22"/>
                <w:szCs w:val="22"/>
                <w:vertAlign w:val="superscript"/>
                <w:lang w:val="en-US"/>
              </w:rPr>
              <w:t>4</w:t>
            </w:r>
            <w:r>
              <w:rPr>
                <w:rFonts w:ascii="Arial" w:hAnsi="Arial" w:cs="Arial"/>
                <w:sz w:val="22"/>
                <w:szCs w:val="22"/>
                <w:lang w:val="en-US"/>
              </w:rPr>
              <w:t xml:space="preserve">, </w:t>
            </w:r>
            <w:r w:rsidRPr="00B923EE">
              <w:rPr>
                <w:rFonts w:ascii="Arial" w:hAnsi="Arial" w:cs="Arial"/>
                <w:sz w:val="22"/>
                <w:szCs w:val="22"/>
                <w:lang w:val="en-US"/>
              </w:rPr>
              <w:t>Yet</w:t>
            </w:r>
            <w:r w:rsidR="00F90FEE">
              <w:rPr>
                <w:rFonts w:ascii="Arial" w:hAnsi="Arial" w:cs="Arial"/>
                <w:sz w:val="22"/>
                <w:szCs w:val="22"/>
                <w:lang w:val="en-US"/>
              </w:rPr>
              <w:t xml:space="preserve"> </w:t>
            </w:r>
            <w:r w:rsidRPr="00B923EE">
              <w:rPr>
                <w:rFonts w:ascii="Arial" w:hAnsi="Arial" w:cs="Arial"/>
                <w:sz w:val="22"/>
                <w:szCs w:val="22"/>
                <w:lang w:val="en-US"/>
              </w:rPr>
              <w:t>Khor</w:t>
            </w:r>
            <w:r w:rsidRPr="00B923EE">
              <w:rPr>
                <w:rFonts w:ascii="Arial" w:hAnsi="Arial" w:cs="Arial"/>
                <w:sz w:val="22"/>
                <w:szCs w:val="22"/>
                <w:vertAlign w:val="superscript"/>
                <w:lang w:val="en-US"/>
              </w:rPr>
              <w:t>5</w:t>
            </w:r>
            <w:r>
              <w:rPr>
                <w:rFonts w:ascii="Arial" w:hAnsi="Arial" w:cs="Arial"/>
                <w:sz w:val="22"/>
                <w:szCs w:val="22"/>
                <w:lang w:val="en-US"/>
              </w:rPr>
              <w:t xml:space="preserve">, </w:t>
            </w:r>
            <w:r w:rsidRPr="00B923EE">
              <w:rPr>
                <w:rFonts w:ascii="Arial" w:hAnsi="Arial" w:cs="Arial"/>
                <w:sz w:val="22"/>
                <w:szCs w:val="22"/>
                <w:lang w:val="en-US"/>
              </w:rPr>
              <w:t>Tamera Corte</w:t>
            </w:r>
            <w:r w:rsidRPr="00B923EE">
              <w:rPr>
                <w:rFonts w:ascii="Arial" w:hAnsi="Arial" w:cs="Arial"/>
                <w:sz w:val="22"/>
                <w:szCs w:val="22"/>
                <w:vertAlign w:val="superscript"/>
                <w:lang w:val="en-US"/>
              </w:rPr>
              <w:t>1,</w:t>
            </w:r>
            <w:r w:rsidR="004D78D0">
              <w:rPr>
                <w:rFonts w:ascii="Arial" w:hAnsi="Arial" w:cs="Arial"/>
                <w:sz w:val="22"/>
                <w:szCs w:val="22"/>
                <w:vertAlign w:val="superscript"/>
                <w:lang w:val="en-US"/>
              </w:rPr>
              <w:t>2,</w:t>
            </w:r>
            <w:r w:rsidRPr="00B923EE">
              <w:rPr>
                <w:rFonts w:ascii="Arial" w:hAnsi="Arial" w:cs="Arial"/>
                <w:sz w:val="22"/>
                <w:szCs w:val="22"/>
                <w:vertAlign w:val="superscript"/>
                <w:lang w:val="en-US"/>
              </w:rPr>
              <w:t>3</w:t>
            </w:r>
            <w:r w:rsidR="00D40338">
              <w:rPr>
                <w:rFonts w:ascii="Arial" w:hAnsi="Arial" w:cs="Arial"/>
                <w:sz w:val="22"/>
                <w:szCs w:val="22"/>
                <w:lang w:val="en-US"/>
              </w:rPr>
              <w:t>.</w:t>
            </w:r>
          </w:p>
        </w:tc>
      </w:tr>
      <w:tr w:rsidR="001564A4" w:rsidRPr="0050053A" w14:paraId="385A19D9" w14:textId="77777777" w:rsidTr="00DE7583">
        <w:trPr>
          <w:trHeight w:val="179"/>
          <w:jc w:val="center"/>
        </w:trPr>
        <w:tc>
          <w:tcPr>
            <w:tcW w:w="8238" w:type="dxa"/>
            <w:shd w:val="clear" w:color="auto" w:fill="auto"/>
          </w:tcPr>
          <w:p w14:paraId="32184830" w14:textId="20BDDF33" w:rsidR="00B923EE" w:rsidRPr="0050053A" w:rsidRDefault="00B923EE" w:rsidP="004D78D0">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Pr>
                <w:rFonts w:ascii="Arial" w:hAnsi="Arial" w:cs="Arial"/>
                <w:i/>
                <w:sz w:val="22"/>
                <w:szCs w:val="22"/>
                <w:vertAlign w:val="superscript"/>
                <w:lang w:val="en-US" w:eastAsia="en-GB"/>
              </w:rPr>
              <w:t xml:space="preserve"> </w:t>
            </w:r>
            <w:r w:rsidRPr="004C375F">
              <w:rPr>
                <w:rFonts w:ascii="Arial" w:hAnsi="Arial" w:cs="Arial"/>
                <w:bCs/>
                <w:i/>
                <w:sz w:val="22"/>
                <w:szCs w:val="22"/>
                <w:lang w:val="en-AU" w:eastAsia="en-GB"/>
              </w:rPr>
              <w:t xml:space="preserve">Centre of Research Excellence in Pulmonary Fibrosis, </w:t>
            </w:r>
            <w:r>
              <w:rPr>
                <w:rFonts w:ascii="Arial" w:hAnsi="Arial" w:cs="Arial"/>
                <w:bCs/>
                <w:i/>
                <w:sz w:val="22"/>
                <w:szCs w:val="22"/>
                <w:lang w:val="en-AU" w:eastAsia="en-GB"/>
              </w:rPr>
              <w:t xml:space="preserve">NSW, </w:t>
            </w:r>
            <w:r w:rsidRPr="004C375F">
              <w:rPr>
                <w:rFonts w:ascii="Arial" w:hAnsi="Arial" w:cs="Arial"/>
                <w:bCs/>
                <w:i/>
                <w:sz w:val="22"/>
                <w:szCs w:val="22"/>
                <w:lang w:val="en-AU" w:eastAsia="en-GB"/>
              </w:rPr>
              <w:t>Australia</w:t>
            </w:r>
          </w:p>
          <w:p w14:paraId="68962962" w14:textId="2BF9B38D" w:rsidR="00B923EE" w:rsidRPr="00214A24" w:rsidRDefault="00B923EE" w:rsidP="004D78D0">
            <w:pPr>
              <w:spacing w:before="120" w:after="120"/>
              <w:rPr>
                <w:rFonts w:ascii="Arial" w:hAnsi="Arial" w:cs="Arial"/>
                <w:i/>
                <w:sz w:val="22"/>
                <w:szCs w:val="22"/>
                <w:vertAlign w:val="superscript"/>
                <w:lang w:val="en-US" w:eastAsia="en-GB"/>
              </w:rPr>
            </w:pPr>
            <w:r w:rsidRPr="0050053A">
              <w:rPr>
                <w:rFonts w:ascii="Arial" w:hAnsi="Arial" w:cs="Arial"/>
                <w:i/>
                <w:sz w:val="22"/>
                <w:szCs w:val="22"/>
                <w:vertAlign w:val="superscript"/>
                <w:lang w:val="en-US" w:eastAsia="en-GB"/>
              </w:rPr>
              <w:t>2</w:t>
            </w:r>
            <w:r w:rsidRPr="004C375F">
              <w:rPr>
                <w:rFonts w:ascii="Arial" w:hAnsi="Arial" w:cs="Arial"/>
                <w:i/>
                <w:sz w:val="22"/>
                <w:szCs w:val="22"/>
                <w:lang w:val="en-AU" w:eastAsia="en-GB"/>
              </w:rPr>
              <w:t xml:space="preserve"> </w:t>
            </w:r>
            <w:r w:rsidR="00D40338" w:rsidRPr="00D40338">
              <w:rPr>
                <w:rFonts w:ascii="Arial" w:hAnsi="Arial" w:cs="Arial"/>
                <w:i/>
                <w:sz w:val="22"/>
                <w:szCs w:val="22"/>
                <w:lang w:val="en-AU" w:eastAsia="en-GB"/>
              </w:rPr>
              <w:t>School of Medicine and Health, The University of Sydney</w:t>
            </w:r>
            <w:r w:rsidRPr="004C375F">
              <w:rPr>
                <w:rFonts w:ascii="Arial" w:hAnsi="Arial" w:cs="Arial"/>
                <w:i/>
                <w:sz w:val="22"/>
                <w:szCs w:val="22"/>
                <w:lang w:val="en-AU" w:eastAsia="en-GB"/>
              </w:rPr>
              <w:t xml:space="preserve">, </w:t>
            </w:r>
            <w:r>
              <w:rPr>
                <w:rFonts w:ascii="Arial" w:hAnsi="Arial" w:cs="Arial"/>
                <w:i/>
                <w:sz w:val="22"/>
                <w:szCs w:val="22"/>
                <w:lang w:val="en-AU" w:eastAsia="en-GB"/>
              </w:rPr>
              <w:t>NSW</w:t>
            </w:r>
            <w:r w:rsidRPr="004C375F">
              <w:rPr>
                <w:rFonts w:ascii="Arial" w:hAnsi="Arial" w:cs="Arial"/>
                <w:i/>
                <w:sz w:val="22"/>
                <w:szCs w:val="22"/>
                <w:lang w:val="en-AU" w:eastAsia="en-GB"/>
              </w:rPr>
              <w:t>, Australia</w:t>
            </w:r>
          </w:p>
          <w:p w14:paraId="63BE8D89" w14:textId="291FF59B" w:rsidR="00B923EE" w:rsidRPr="004C375F" w:rsidRDefault="00B923EE" w:rsidP="004D78D0">
            <w:pPr>
              <w:spacing w:before="120" w:after="120"/>
              <w:rPr>
                <w:rFonts w:ascii="Arial" w:hAnsi="Arial" w:cs="Arial"/>
                <w:i/>
                <w:sz w:val="22"/>
                <w:szCs w:val="22"/>
                <w:lang w:val="en-AU" w:eastAsia="en-GB"/>
              </w:rPr>
            </w:pPr>
            <w:r w:rsidRPr="0050053A">
              <w:rPr>
                <w:rFonts w:ascii="Arial" w:hAnsi="Arial" w:cs="Arial"/>
                <w:i/>
                <w:sz w:val="22"/>
                <w:szCs w:val="22"/>
                <w:vertAlign w:val="superscript"/>
                <w:lang w:val="en-US" w:eastAsia="en-GB"/>
              </w:rPr>
              <w:t>3</w:t>
            </w:r>
            <w:r w:rsidRPr="004C375F">
              <w:rPr>
                <w:rFonts w:ascii="Arial" w:hAnsi="Arial" w:cs="Arial"/>
                <w:i/>
                <w:sz w:val="22"/>
                <w:szCs w:val="22"/>
                <w:lang w:eastAsia="en-GB"/>
              </w:rPr>
              <w:t xml:space="preserve"> Department of Respiratory and Sleep Medicine, Royal Prince Alfred Hospital, </w:t>
            </w:r>
            <w:r>
              <w:rPr>
                <w:rFonts w:ascii="Arial" w:hAnsi="Arial" w:cs="Arial"/>
                <w:i/>
                <w:sz w:val="22"/>
                <w:szCs w:val="22"/>
                <w:lang w:eastAsia="en-GB"/>
              </w:rPr>
              <w:t>NSW</w:t>
            </w:r>
            <w:r w:rsidRPr="004C375F">
              <w:rPr>
                <w:rFonts w:ascii="Arial" w:hAnsi="Arial" w:cs="Arial"/>
                <w:i/>
                <w:sz w:val="22"/>
                <w:szCs w:val="22"/>
                <w:lang w:eastAsia="en-GB"/>
              </w:rPr>
              <w:t>, Australia</w:t>
            </w:r>
            <w:r>
              <w:rPr>
                <w:rFonts w:ascii="Arial" w:hAnsi="Arial" w:cs="Arial"/>
                <w:i/>
                <w:sz w:val="22"/>
                <w:szCs w:val="22"/>
                <w:lang w:eastAsia="en-GB"/>
              </w:rPr>
              <w:t xml:space="preserve"> </w:t>
            </w:r>
          </w:p>
          <w:p w14:paraId="2048A10E" w14:textId="6679C8B8" w:rsidR="00B923EE" w:rsidRPr="0050053A" w:rsidRDefault="00B923EE" w:rsidP="004D78D0">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4</w:t>
            </w:r>
            <w:r>
              <w:rPr>
                <w:rFonts w:ascii="Arial" w:hAnsi="Arial" w:cs="Arial"/>
                <w:i/>
                <w:sz w:val="22"/>
                <w:szCs w:val="22"/>
                <w:lang w:val="en-US" w:eastAsia="en-GB"/>
              </w:rPr>
              <w:t xml:space="preserve"> </w:t>
            </w:r>
            <w:r w:rsidR="006A0352" w:rsidRPr="006A0352">
              <w:rPr>
                <w:rFonts w:ascii="Arial" w:hAnsi="Arial" w:cs="Arial"/>
                <w:i/>
                <w:sz w:val="22"/>
                <w:szCs w:val="22"/>
                <w:lang w:val="en-US" w:eastAsia="en-GB"/>
              </w:rPr>
              <w:t>Sir Charles Gairdner Hospital</w:t>
            </w:r>
            <w:r w:rsidRPr="00D40338">
              <w:rPr>
                <w:rFonts w:ascii="Arial" w:hAnsi="Arial" w:cs="Arial"/>
                <w:i/>
                <w:sz w:val="22"/>
                <w:szCs w:val="22"/>
                <w:lang w:val="en-US" w:eastAsia="en-GB"/>
              </w:rPr>
              <w:t>, WA, Australia</w:t>
            </w:r>
          </w:p>
          <w:p w14:paraId="45ED36BF" w14:textId="48D64143" w:rsidR="001564A4" w:rsidRPr="00B923EE" w:rsidRDefault="00B923EE" w:rsidP="004D78D0">
            <w:pPr>
              <w:rPr>
                <w:rFonts w:ascii="Arial" w:hAnsi="Arial" w:cs="Arial"/>
                <w:i/>
                <w:sz w:val="22"/>
                <w:szCs w:val="22"/>
                <w:vertAlign w:val="superscript"/>
                <w:lang w:val="en-US" w:eastAsia="en-GB"/>
              </w:rPr>
            </w:pPr>
            <w:r w:rsidRPr="0050053A">
              <w:rPr>
                <w:rFonts w:ascii="Arial" w:hAnsi="Arial" w:cs="Arial"/>
                <w:i/>
                <w:sz w:val="22"/>
                <w:szCs w:val="22"/>
                <w:vertAlign w:val="superscript"/>
                <w:lang w:val="en-US" w:eastAsia="en-GB"/>
              </w:rPr>
              <w:t>5</w:t>
            </w:r>
            <w:r>
              <w:rPr>
                <w:rFonts w:ascii="Arial" w:hAnsi="Arial" w:cs="Arial"/>
                <w:i/>
                <w:sz w:val="22"/>
                <w:szCs w:val="22"/>
                <w:vertAlign w:val="superscript"/>
                <w:lang w:val="en-US" w:eastAsia="en-GB"/>
              </w:rPr>
              <w:t xml:space="preserve"> </w:t>
            </w:r>
            <w:r>
              <w:rPr>
                <w:rFonts w:ascii="Arial" w:hAnsi="Arial" w:cs="Arial"/>
                <w:i/>
                <w:sz w:val="22"/>
                <w:szCs w:val="22"/>
                <w:lang w:eastAsia="en-GB"/>
              </w:rPr>
              <w:t xml:space="preserve">Central Clinical School, </w:t>
            </w:r>
            <w:r w:rsidR="000F5C9C">
              <w:rPr>
                <w:rFonts w:ascii="Arial" w:hAnsi="Arial" w:cs="Arial"/>
                <w:i/>
                <w:sz w:val="22"/>
                <w:szCs w:val="22"/>
                <w:lang w:eastAsia="en-GB"/>
              </w:rPr>
              <w:t xml:space="preserve">Monash University, </w:t>
            </w:r>
            <w:r>
              <w:rPr>
                <w:rFonts w:ascii="Arial" w:hAnsi="Arial" w:cs="Arial"/>
                <w:i/>
                <w:sz w:val="22"/>
                <w:szCs w:val="22"/>
                <w:lang w:eastAsia="en-GB"/>
              </w:rPr>
              <w:t>VIC, Australia</w:t>
            </w:r>
          </w:p>
        </w:tc>
      </w:tr>
      <w:tr w:rsidR="001564A4" w:rsidRPr="0050053A" w14:paraId="6DAF615A" w14:textId="77777777" w:rsidTr="003B1AA9">
        <w:trPr>
          <w:trHeight w:hRule="exact" w:val="9718"/>
          <w:jc w:val="center"/>
        </w:trPr>
        <w:tc>
          <w:tcPr>
            <w:tcW w:w="8238" w:type="dxa"/>
            <w:shd w:val="clear" w:color="auto" w:fill="auto"/>
          </w:tcPr>
          <w:p w14:paraId="249D8B63" w14:textId="72ACF927" w:rsidR="00A95EC8" w:rsidRPr="00B923EE" w:rsidRDefault="001564A4" w:rsidP="00A95EC8">
            <w:pPr>
              <w:pStyle w:val="Pa12"/>
              <w:rPr>
                <w:color w:val="000000" w:themeColor="text1"/>
                <w:sz w:val="22"/>
                <w:szCs w:val="22"/>
                <w:lang w:val="en-AU"/>
              </w:rPr>
            </w:pPr>
            <w:r w:rsidRPr="00B923EE">
              <w:rPr>
                <w:rStyle w:val="A4"/>
                <w:b/>
                <w:bCs/>
              </w:rPr>
              <w:t xml:space="preserve">Introduction/Aim: </w:t>
            </w:r>
            <w:r w:rsidR="002C5E51" w:rsidRPr="00B923EE">
              <w:rPr>
                <w:rStyle w:val="A4"/>
              </w:rPr>
              <w:t xml:space="preserve">Patients with fibrosing </w:t>
            </w:r>
            <w:r w:rsidR="00DE7583" w:rsidRPr="00B923EE">
              <w:rPr>
                <w:color w:val="000000" w:themeColor="text1"/>
                <w:sz w:val="22"/>
                <w:szCs w:val="22"/>
              </w:rPr>
              <w:t>Interstitial lung disease (ILD)</w:t>
            </w:r>
            <w:r w:rsidR="00191FAA" w:rsidRPr="00B923EE">
              <w:rPr>
                <w:color w:val="000000" w:themeColor="text1"/>
                <w:sz w:val="22"/>
                <w:szCs w:val="22"/>
              </w:rPr>
              <w:t xml:space="preserve"> </w:t>
            </w:r>
            <w:r w:rsidR="00DE7583" w:rsidRPr="00B923EE">
              <w:rPr>
                <w:color w:val="000000" w:themeColor="text1"/>
                <w:sz w:val="22"/>
                <w:szCs w:val="22"/>
              </w:rPr>
              <w:t>present</w:t>
            </w:r>
            <w:r w:rsidR="00191FAA" w:rsidRPr="00B923EE">
              <w:rPr>
                <w:color w:val="000000" w:themeColor="text1"/>
                <w:sz w:val="22"/>
                <w:szCs w:val="22"/>
              </w:rPr>
              <w:t xml:space="preserve"> with</w:t>
            </w:r>
            <w:r w:rsidR="00DE7583" w:rsidRPr="00B923EE">
              <w:rPr>
                <w:color w:val="000000" w:themeColor="text1"/>
                <w:sz w:val="22"/>
                <w:szCs w:val="22"/>
              </w:rPr>
              <w:t xml:space="preserve"> heterogen</w:t>
            </w:r>
            <w:r w:rsidR="00661DC6" w:rsidRPr="00B923EE">
              <w:rPr>
                <w:color w:val="000000" w:themeColor="text1"/>
                <w:sz w:val="22"/>
                <w:szCs w:val="22"/>
              </w:rPr>
              <w:t>e</w:t>
            </w:r>
            <w:r w:rsidR="00DE7583" w:rsidRPr="00B923EE">
              <w:rPr>
                <w:color w:val="000000" w:themeColor="text1"/>
                <w:sz w:val="22"/>
                <w:szCs w:val="22"/>
              </w:rPr>
              <w:t>ous clinical</w:t>
            </w:r>
            <w:r w:rsidR="002C5E51" w:rsidRPr="00B923EE">
              <w:rPr>
                <w:color w:val="000000" w:themeColor="text1"/>
                <w:sz w:val="22"/>
                <w:szCs w:val="22"/>
              </w:rPr>
              <w:t xml:space="preserve"> histor</w:t>
            </w:r>
            <w:r w:rsidR="00A9577A" w:rsidRPr="00B923EE">
              <w:rPr>
                <w:color w:val="000000" w:themeColor="text1"/>
                <w:sz w:val="22"/>
                <w:szCs w:val="22"/>
              </w:rPr>
              <w:t>ies</w:t>
            </w:r>
            <w:r w:rsidR="00DE7583" w:rsidRPr="00B923EE">
              <w:rPr>
                <w:color w:val="000000" w:themeColor="text1"/>
                <w:sz w:val="22"/>
                <w:szCs w:val="22"/>
              </w:rPr>
              <w:t xml:space="preserve">, </w:t>
            </w:r>
            <w:r w:rsidR="00391499" w:rsidRPr="00B923EE">
              <w:rPr>
                <w:color w:val="000000" w:themeColor="text1"/>
                <w:sz w:val="22"/>
                <w:szCs w:val="22"/>
              </w:rPr>
              <w:t xml:space="preserve">comorbidities, and </w:t>
            </w:r>
            <w:r w:rsidR="00165110" w:rsidRPr="00B923EE">
              <w:rPr>
                <w:color w:val="000000" w:themeColor="text1"/>
                <w:sz w:val="22"/>
                <w:szCs w:val="22"/>
              </w:rPr>
              <w:t xml:space="preserve">socioeconomic backgrounds and exposures </w:t>
            </w:r>
            <w:r w:rsidR="00554E4D" w:rsidRPr="00B923EE">
              <w:rPr>
                <w:color w:val="000000" w:themeColor="text1"/>
                <w:sz w:val="22"/>
                <w:szCs w:val="22"/>
              </w:rPr>
              <w:t xml:space="preserve">that may impact their </w:t>
            </w:r>
            <w:r w:rsidR="00190634" w:rsidRPr="00B923EE">
              <w:rPr>
                <w:color w:val="000000" w:themeColor="text1"/>
                <w:sz w:val="22"/>
                <w:szCs w:val="22"/>
              </w:rPr>
              <w:t>disease progression</w:t>
            </w:r>
            <w:r w:rsidR="00DE7583" w:rsidRPr="00B923EE">
              <w:rPr>
                <w:color w:val="000000" w:themeColor="text1"/>
                <w:sz w:val="22"/>
                <w:szCs w:val="22"/>
              </w:rPr>
              <w:t>.</w:t>
            </w:r>
            <w:r w:rsidR="00A95EC8" w:rsidRPr="00B923EE">
              <w:rPr>
                <w:color w:val="000000" w:themeColor="text1"/>
                <w:sz w:val="22"/>
                <w:szCs w:val="22"/>
              </w:rPr>
              <w:t xml:space="preserve"> </w:t>
            </w:r>
            <w:r w:rsidR="00A95EC8" w:rsidRPr="00B923EE">
              <w:rPr>
                <w:color w:val="000000" w:themeColor="text1"/>
                <w:sz w:val="22"/>
                <w:szCs w:val="22"/>
                <w:lang w:val="en-AU"/>
              </w:rPr>
              <w:t>In the current zeitgeist, there</w:t>
            </w:r>
            <w:r w:rsidR="00165110" w:rsidRPr="00B923EE">
              <w:rPr>
                <w:color w:val="000000" w:themeColor="text1"/>
                <w:sz w:val="22"/>
                <w:szCs w:val="22"/>
                <w:lang w:val="en-AU"/>
              </w:rPr>
              <w:t xml:space="preserve"> is minimal literature regarding </w:t>
            </w:r>
            <w:r w:rsidR="00165110" w:rsidRPr="00B923EE">
              <w:rPr>
                <w:color w:val="000000" w:themeColor="text1"/>
                <w:sz w:val="22"/>
                <w:szCs w:val="22"/>
              </w:rPr>
              <w:t xml:space="preserve">current recommendations for complex lung disease that is inclusive </w:t>
            </w:r>
            <w:r w:rsidR="00165110" w:rsidRPr="00B923EE">
              <w:rPr>
                <w:color w:val="000000" w:themeColor="text1"/>
                <w:sz w:val="22"/>
                <w:szCs w:val="22"/>
                <w:lang w:val="en-AU"/>
              </w:rPr>
              <w:t xml:space="preserve">of individual comorbidities. </w:t>
            </w:r>
            <w:r w:rsidR="00165110" w:rsidRPr="00B923EE">
              <w:rPr>
                <w:color w:val="000000" w:themeColor="text1"/>
                <w:sz w:val="22"/>
                <w:szCs w:val="22"/>
              </w:rPr>
              <w:t xml:space="preserve">The “treatable traits” approach provides patient-centred care tailored to </w:t>
            </w:r>
            <w:r w:rsidR="00165110" w:rsidRPr="00B923EE">
              <w:rPr>
                <w:color w:val="000000" w:themeColor="text1"/>
                <w:sz w:val="22"/>
                <w:szCs w:val="22"/>
                <w:shd w:val="clear" w:color="auto" w:fill="FFFFFF"/>
              </w:rPr>
              <w:t>each patient’s unique clinical phenotype</w:t>
            </w:r>
            <w:r w:rsidR="00165110" w:rsidRPr="00B923EE">
              <w:rPr>
                <w:color w:val="000000" w:themeColor="text1"/>
                <w:sz w:val="22"/>
                <w:szCs w:val="22"/>
                <w:lang w:val="en-AU"/>
              </w:rPr>
              <w:t xml:space="preserve"> to target modifiable drivers of health status, with relevance to the underlying ILD. </w:t>
            </w:r>
            <w:r w:rsidR="00165110" w:rsidRPr="00B923EE">
              <w:rPr>
                <w:color w:val="000000" w:themeColor="text1"/>
                <w:sz w:val="22"/>
                <w:szCs w:val="22"/>
              </w:rPr>
              <w:t>This study examined the prevalence of clinically relevant treatable traits in a large cohort of patients with fibrosing ILD.</w:t>
            </w:r>
          </w:p>
          <w:p w14:paraId="7D70230F" w14:textId="43CD1EB6" w:rsidR="00DE7583" w:rsidRPr="00B923EE" w:rsidRDefault="00DE7583" w:rsidP="00A95EC8">
            <w:pPr>
              <w:pStyle w:val="Pa12"/>
              <w:rPr>
                <w:rStyle w:val="A4"/>
                <w:color w:val="000000" w:themeColor="text1"/>
              </w:rPr>
            </w:pPr>
          </w:p>
          <w:p w14:paraId="3E4EDD7D" w14:textId="70DF4786" w:rsidR="00E7312C" w:rsidRPr="00B923EE" w:rsidRDefault="001564A4" w:rsidP="00E7312C">
            <w:pPr>
              <w:pStyle w:val="NormalWeb"/>
              <w:spacing w:before="0" w:beforeAutospacing="0" w:after="0" w:afterAutospacing="0"/>
              <w:rPr>
                <w:rFonts w:ascii="Arial" w:hAnsi="Arial" w:cs="Arial"/>
                <w:color w:val="000000" w:themeColor="text1"/>
                <w:sz w:val="22"/>
                <w:szCs w:val="22"/>
              </w:rPr>
            </w:pPr>
            <w:r w:rsidRPr="00B923EE">
              <w:rPr>
                <w:rStyle w:val="A4"/>
                <w:rFonts w:ascii="Arial" w:hAnsi="Arial" w:cs="Arial"/>
                <w:b/>
                <w:bCs/>
              </w:rPr>
              <w:t xml:space="preserve">Methods: </w:t>
            </w:r>
            <w:r w:rsidR="002016F4" w:rsidRPr="00B923EE">
              <w:rPr>
                <w:rStyle w:val="A4"/>
                <w:rFonts w:ascii="Arial" w:hAnsi="Arial" w:cs="Arial"/>
              </w:rPr>
              <w:t>T</w:t>
            </w:r>
            <w:r w:rsidR="002E616D" w:rsidRPr="00B923EE">
              <w:rPr>
                <w:rStyle w:val="A4"/>
                <w:rFonts w:ascii="Arial" w:hAnsi="Arial" w:cs="Arial"/>
              </w:rPr>
              <w:t>he prevalence of t</w:t>
            </w:r>
            <w:r w:rsidR="002016F4" w:rsidRPr="00B923EE">
              <w:rPr>
                <w:rStyle w:val="A4"/>
                <w:rFonts w:ascii="Arial" w:hAnsi="Arial" w:cs="Arial"/>
              </w:rPr>
              <w:t>reatable trait</w:t>
            </w:r>
            <w:r w:rsidR="008E1CF0" w:rsidRPr="00B923EE">
              <w:rPr>
                <w:rStyle w:val="A4"/>
                <w:rFonts w:ascii="Arial" w:hAnsi="Arial" w:cs="Arial"/>
              </w:rPr>
              <w:t>s</w:t>
            </w:r>
            <w:r w:rsidR="002016F4" w:rsidRPr="00B923EE">
              <w:rPr>
                <w:rStyle w:val="A4"/>
                <w:rFonts w:ascii="Arial" w:hAnsi="Arial" w:cs="Arial"/>
              </w:rPr>
              <w:t xml:space="preserve"> w</w:t>
            </w:r>
            <w:r w:rsidR="002E616D" w:rsidRPr="00B923EE">
              <w:rPr>
                <w:rStyle w:val="A4"/>
                <w:rFonts w:ascii="Arial" w:hAnsi="Arial" w:cs="Arial"/>
              </w:rPr>
              <w:t>as</w:t>
            </w:r>
            <w:r w:rsidR="002016F4" w:rsidRPr="00B923EE">
              <w:rPr>
                <w:rStyle w:val="A4"/>
                <w:rFonts w:ascii="Arial" w:hAnsi="Arial" w:cs="Arial"/>
              </w:rPr>
              <w:t xml:space="preserve"> assessed in </w:t>
            </w:r>
            <w:r w:rsidR="008469EF" w:rsidRPr="00B923EE">
              <w:rPr>
                <w:rFonts w:ascii="Arial" w:hAnsi="Arial" w:cs="Arial"/>
                <w:color w:val="000000" w:themeColor="text1"/>
                <w:sz w:val="22"/>
                <w:szCs w:val="22"/>
              </w:rPr>
              <w:t xml:space="preserve">the </w:t>
            </w:r>
            <w:r w:rsidR="00FC6780" w:rsidRPr="00B923EE">
              <w:rPr>
                <w:rFonts w:ascii="Arial" w:hAnsi="Arial" w:cs="Arial"/>
                <w:color w:val="000000" w:themeColor="text1"/>
                <w:sz w:val="22"/>
                <w:szCs w:val="22"/>
              </w:rPr>
              <w:t xml:space="preserve">Royal Prince Alfred Hospital site of the </w:t>
            </w:r>
            <w:r w:rsidR="00DE7583" w:rsidRPr="00B923EE">
              <w:rPr>
                <w:rFonts w:ascii="Arial" w:hAnsi="Arial" w:cs="Arial"/>
                <w:color w:val="000000" w:themeColor="text1"/>
                <w:sz w:val="22"/>
                <w:szCs w:val="22"/>
              </w:rPr>
              <w:t>Austral</w:t>
            </w:r>
            <w:r w:rsidR="008469EF" w:rsidRPr="00B923EE">
              <w:rPr>
                <w:rFonts w:ascii="Arial" w:hAnsi="Arial" w:cs="Arial"/>
                <w:color w:val="000000" w:themeColor="text1"/>
                <w:sz w:val="22"/>
                <w:szCs w:val="22"/>
              </w:rPr>
              <w:t>as</w:t>
            </w:r>
            <w:r w:rsidR="00DE7583" w:rsidRPr="00B923EE">
              <w:rPr>
                <w:rFonts w:ascii="Arial" w:hAnsi="Arial" w:cs="Arial"/>
                <w:color w:val="000000" w:themeColor="text1"/>
                <w:sz w:val="22"/>
                <w:szCs w:val="22"/>
              </w:rPr>
              <w:t xml:space="preserve">ian Interstitial Lung Disease Registry </w:t>
            </w:r>
            <w:r w:rsidR="00FC6780" w:rsidRPr="00B923EE">
              <w:rPr>
                <w:rFonts w:ascii="Arial" w:hAnsi="Arial" w:cs="Arial"/>
                <w:color w:val="000000" w:themeColor="text1"/>
                <w:sz w:val="22"/>
                <w:szCs w:val="22"/>
              </w:rPr>
              <w:t>(</w:t>
            </w:r>
            <w:r w:rsidR="009E2842" w:rsidRPr="00B923EE">
              <w:rPr>
                <w:rFonts w:ascii="Arial" w:hAnsi="Arial" w:cs="Arial"/>
                <w:color w:val="000000" w:themeColor="text1"/>
                <w:sz w:val="22"/>
                <w:szCs w:val="22"/>
              </w:rPr>
              <w:t xml:space="preserve">“RPAH registry”) </w:t>
            </w:r>
            <w:r w:rsidR="00DE7583" w:rsidRPr="00B923EE">
              <w:rPr>
                <w:rFonts w:ascii="Arial" w:hAnsi="Arial" w:cs="Arial"/>
                <w:color w:val="000000" w:themeColor="text1"/>
                <w:sz w:val="22"/>
                <w:szCs w:val="22"/>
              </w:rPr>
              <w:t>patient</w:t>
            </w:r>
            <w:r w:rsidR="00AC7679" w:rsidRPr="00B923EE">
              <w:rPr>
                <w:rFonts w:ascii="Arial" w:hAnsi="Arial" w:cs="Arial"/>
                <w:color w:val="000000" w:themeColor="text1"/>
                <w:sz w:val="22"/>
                <w:szCs w:val="22"/>
              </w:rPr>
              <w:t>s</w:t>
            </w:r>
            <w:r w:rsidR="00DE7583" w:rsidRPr="00B923EE">
              <w:rPr>
                <w:rFonts w:ascii="Arial" w:hAnsi="Arial" w:cs="Arial"/>
                <w:color w:val="000000" w:themeColor="text1"/>
                <w:sz w:val="22"/>
                <w:szCs w:val="22"/>
              </w:rPr>
              <w:t xml:space="preserve"> between 2016-2023. </w:t>
            </w:r>
            <w:r w:rsidR="00E7312C" w:rsidRPr="00B923EE">
              <w:rPr>
                <w:rFonts w:ascii="Arial" w:hAnsi="Arial" w:cs="Arial"/>
                <w:color w:val="000000" w:themeColor="text1"/>
                <w:sz w:val="22"/>
                <w:szCs w:val="22"/>
              </w:rPr>
              <w:t>The treatable traits were recorded against the hospital registry to assess prevalence and associated diagnose</w:t>
            </w:r>
            <w:r w:rsidR="00B923EE" w:rsidRPr="00B923EE">
              <w:rPr>
                <w:rFonts w:ascii="Arial" w:hAnsi="Arial" w:cs="Arial"/>
                <w:color w:val="000000" w:themeColor="text1"/>
                <w:sz w:val="22"/>
                <w:szCs w:val="22"/>
              </w:rPr>
              <w:t>s</w:t>
            </w:r>
            <w:r w:rsidR="00E7312C" w:rsidRPr="00B923EE">
              <w:rPr>
                <w:rFonts w:ascii="Arial" w:hAnsi="Arial" w:cs="Arial"/>
                <w:color w:val="000000" w:themeColor="text1"/>
                <w:sz w:val="22"/>
                <w:szCs w:val="22"/>
              </w:rPr>
              <w:t xml:space="preserve">. </w:t>
            </w:r>
          </w:p>
          <w:p w14:paraId="10B6245D" w14:textId="77777777" w:rsidR="00375B2A" w:rsidRPr="00B923EE" w:rsidRDefault="00375B2A" w:rsidP="00E7312C">
            <w:pPr>
              <w:pStyle w:val="Default"/>
              <w:rPr>
                <w:sz w:val="22"/>
                <w:szCs w:val="22"/>
              </w:rPr>
            </w:pPr>
          </w:p>
          <w:p w14:paraId="18F77515" w14:textId="78524381" w:rsidR="001564A4" w:rsidRPr="00B923EE" w:rsidRDefault="001564A4" w:rsidP="00DE7583">
            <w:pPr>
              <w:pStyle w:val="Pa12"/>
              <w:spacing w:line="240" w:lineRule="auto"/>
              <w:rPr>
                <w:b/>
                <w:bCs/>
                <w:color w:val="000000"/>
                <w:sz w:val="22"/>
                <w:szCs w:val="22"/>
              </w:rPr>
            </w:pPr>
            <w:r w:rsidRPr="00B923EE">
              <w:rPr>
                <w:rStyle w:val="A4"/>
                <w:b/>
                <w:bCs/>
              </w:rPr>
              <w:t>Results:</w:t>
            </w:r>
            <w:r w:rsidR="00165110" w:rsidRPr="00B923EE">
              <w:rPr>
                <w:rStyle w:val="A4"/>
                <w:b/>
                <w:bCs/>
              </w:rPr>
              <w:t xml:space="preserve"> </w:t>
            </w:r>
            <w:r w:rsidR="00165110" w:rsidRPr="00B923EE">
              <w:rPr>
                <w:color w:val="000000" w:themeColor="text1"/>
                <w:sz w:val="22"/>
                <w:szCs w:val="22"/>
                <w:lang w:eastAsia="en-GB"/>
              </w:rPr>
              <w:t xml:space="preserve">Fifteen treatable traits were identified from the literature and grouped into four domains: </w:t>
            </w:r>
            <w:r w:rsidR="00165110" w:rsidRPr="00B923EE">
              <w:rPr>
                <w:sz w:val="22"/>
                <w:szCs w:val="22"/>
              </w:rPr>
              <w:t xml:space="preserve">aetiological, pulmonary, extrapulmonary, behavioural/lifestyle. Across the RPAH registry, 790 patients with fibrosing ILD were included. </w:t>
            </w:r>
            <w:r w:rsidR="00165110" w:rsidRPr="00B923EE">
              <w:rPr>
                <w:color w:val="000000" w:themeColor="text1"/>
                <w:sz w:val="22"/>
                <w:szCs w:val="22"/>
                <w:lang w:eastAsia="en-GB"/>
              </w:rPr>
              <w:t>Patients expressed a median of five traits with b</w:t>
            </w:r>
            <w:r w:rsidR="00165110" w:rsidRPr="00B923EE">
              <w:rPr>
                <w:sz w:val="22"/>
                <w:szCs w:val="22"/>
              </w:rPr>
              <w:t>ehavioural/lifestyle traits presenting as the most common domain. The most prevalent traits were</w:t>
            </w:r>
            <w:r w:rsidR="00165110" w:rsidRPr="00B923EE">
              <w:rPr>
                <w:color w:val="000000" w:themeColor="text1"/>
                <w:sz w:val="22"/>
                <w:szCs w:val="22"/>
                <w:lang w:eastAsia="en-GB"/>
              </w:rPr>
              <w:t xml:space="preserve"> </w:t>
            </w:r>
            <w:r w:rsidR="00165110" w:rsidRPr="00B923EE">
              <w:rPr>
                <w:sz w:val="22"/>
                <w:szCs w:val="22"/>
              </w:rPr>
              <w:t xml:space="preserve">Polypharmacy (n=540/709, 76.16%), </w:t>
            </w:r>
            <w:r w:rsidR="00165110" w:rsidRPr="00B923EE">
              <w:rPr>
                <w:color w:val="000000" w:themeColor="text1"/>
                <w:sz w:val="22"/>
                <w:szCs w:val="22"/>
                <w:lang w:eastAsia="en-GB"/>
              </w:rPr>
              <w:t>Dyspnoea (n=529/790, 66.96%), Intractable chronic cough (n=458/790, 57.97%), Cigarette smoking (</w:t>
            </w:r>
            <w:r w:rsidR="00AD20B9">
              <w:rPr>
                <w:color w:val="000000" w:themeColor="text1"/>
                <w:sz w:val="22"/>
                <w:szCs w:val="22"/>
                <w:lang w:eastAsia="en-GB"/>
              </w:rPr>
              <w:t xml:space="preserve">current or history as </w:t>
            </w:r>
            <w:r w:rsidR="00165110" w:rsidRPr="00B923EE">
              <w:rPr>
                <w:color w:val="000000" w:themeColor="text1"/>
                <w:sz w:val="22"/>
                <w:szCs w:val="22"/>
                <w:lang w:eastAsia="en-GB"/>
              </w:rPr>
              <w:t xml:space="preserve">smoker: n=434/768, 56.51%), and Environmental exposure (organic and inorganic; n=397/790, 50.25%). </w:t>
            </w:r>
          </w:p>
          <w:p w14:paraId="68537800" w14:textId="77777777" w:rsidR="001564A4" w:rsidRPr="00B923EE" w:rsidRDefault="001564A4" w:rsidP="00DE7583">
            <w:pPr>
              <w:pStyle w:val="Pa12"/>
              <w:spacing w:line="240" w:lineRule="auto"/>
              <w:rPr>
                <w:rStyle w:val="A4"/>
                <w:bCs/>
              </w:rPr>
            </w:pPr>
          </w:p>
          <w:p w14:paraId="652F7BE1" w14:textId="6110BDDA" w:rsidR="001564A4" w:rsidRPr="00B923EE" w:rsidRDefault="001564A4" w:rsidP="00DE7583">
            <w:pPr>
              <w:pStyle w:val="Pa12"/>
              <w:spacing w:line="240" w:lineRule="auto"/>
              <w:rPr>
                <w:rStyle w:val="A4"/>
              </w:rPr>
            </w:pPr>
            <w:r w:rsidRPr="00B923EE">
              <w:rPr>
                <w:rStyle w:val="A4"/>
                <w:b/>
                <w:bCs/>
              </w:rPr>
              <w:t xml:space="preserve">Conclusion: </w:t>
            </w:r>
            <w:r w:rsidR="00165110" w:rsidRPr="00B923EE">
              <w:rPr>
                <w:rStyle w:val="A4"/>
              </w:rPr>
              <w:t xml:space="preserve">Treatable traits were successfully mapped in patients within the RPAH registry. The prevalence of treatable traits varied across domains and individuals, </w:t>
            </w:r>
            <w:r w:rsidR="004C375F" w:rsidRPr="00B923EE">
              <w:rPr>
                <w:rStyle w:val="A4"/>
              </w:rPr>
              <w:t xml:space="preserve">suggesting </w:t>
            </w:r>
            <w:r w:rsidR="00165110" w:rsidRPr="00B923EE">
              <w:rPr>
                <w:rStyle w:val="A4"/>
              </w:rPr>
              <w:t>the need for a more comprehensive individualised approach to ILD management and treatment strategies.</w:t>
            </w:r>
          </w:p>
          <w:p w14:paraId="6C126BD0" w14:textId="77777777" w:rsidR="00B923EE" w:rsidRPr="00B923EE" w:rsidRDefault="00B923EE" w:rsidP="00B923EE">
            <w:pPr>
              <w:pStyle w:val="Default"/>
              <w:rPr>
                <w:sz w:val="22"/>
                <w:szCs w:val="22"/>
              </w:rPr>
            </w:pPr>
          </w:p>
          <w:p w14:paraId="4D74FC55" w14:textId="09799B82" w:rsidR="00B923EE" w:rsidRPr="00B923EE" w:rsidRDefault="00B923EE" w:rsidP="00B923EE">
            <w:pPr>
              <w:pStyle w:val="Default"/>
              <w:rPr>
                <w:b/>
                <w:bCs/>
                <w:sz w:val="22"/>
                <w:szCs w:val="22"/>
              </w:rPr>
            </w:pPr>
            <w:r w:rsidRPr="00B923EE">
              <w:rPr>
                <w:b/>
                <w:bCs/>
                <w:sz w:val="22"/>
                <w:szCs w:val="22"/>
              </w:rPr>
              <w:t xml:space="preserve">Key Words: </w:t>
            </w:r>
            <w:r w:rsidRPr="00B923EE">
              <w:rPr>
                <w:sz w:val="22"/>
                <w:szCs w:val="22"/>
              </w:rPr>
              <w:t>Interstitial Lung Disease, Treatable traits</w:t>
            </w:r>
            <w:r w:rsidRPr="00B923EE">
              <w:rPr>
                <w:b/>
                <w:bCs/>
                <w:sz w:val="22"/>
                <w:szCs w:val="22"/>
              </w:rPr>
              <w:t xml:space="preserve">, </w:t>
            </w:r>
            <w:r w:rsidR="004D78D0">
              <w:rPr>
                <w:sz w:val="22"/>
                <w:szCs w:val="22"/>
              </w:rPr>
              <w:t>Pulmonary Fibrosis.</w:t>
            </w:r>
          </w:p>
          <w:p w14:paraId="033167F9" w14:textId="6E0BA384" w:rsidR="001564A4" w:rsidRPr="00B923EE" w:rsidRDefault="001564A4" w:rsidP="00DE7583">
            <w:pPr>
              <w:pStyle w:val="Pa12"/>
              <w:spacing w:line="240" w:lineRule="auto"/>
              <w:rPr>
                <w:rStyle w:val="A4"/>
                <w:color w:val="auto"/>
              </w:rPr>
            </w:pPr>
          </w:p>
          <w:p w14:paraId="7F8381F0" w14:textId="7580BCE8" w:rsidR="001564A4" w:rsidRPr="00D40338" w:rsidRDefault="001564A4" w:rsidP="00DE7583">
            <w:pPr>
              <w:pStyle w:val="Pa12"/>
              <w:spacing w:line="240" w:lineRule="auto"/>
              <w:rPr>
                <w:bCs/>
                <w:color w:val="000000"/>
                <w:sz w:val="22"/>
                <w:szCs w:val="22"/>
              </w:rPr>
            </w:pPr>
            <w:r w:rsidRPr="00B923EE">
              <w:rPr>
                <w:rStyle w:val="A4"/>
                <w:b/>
                <w:bCs/>
              </w:rPr>
              <w:t xml:space="preserve">Grant Support: </w:t>
            </w:r>
            <w:r w:rsidR="00DE7583" w:rsidRPr="00B923EE">
              <w:rPr>
                <w:rStyle w:val="A4"/>
              </w:rPr>
              <w:t>This work was funded by the Centre of Research Excellence in Pulmonary Fibrosis, which is funded by the NHMRC (GNT1116371 and GNT2015613), Lung Foundation Australia, anonymous philanthropy and Foundation partner Boehringer Ingelheim.</w:t>
            </w:r>
            <w:r w:rsidRPr="00DE7583">
              <w:rPr>
                <w:sz w:val="22"/>
                <w:szCs w:val="22"/>
              </w:rPr>
              <w:br/>
            </w:r>
            <w:r w:rsidRPr="00DE7583">
              <w:rPr>
                <w:sz w:val="22"/>
                <w:szCs w:val="22"/>
              </w:rPr>
              <w:br/>
            </w:r>
            <w:r w:rsidRPr="00DE7583">
              <w:rPr>
                <w:sz w:val="22"/>
                <w:szCs w:val="22"/>
              </w:rPr>
              <w:br/>
            </w:r>
            <w:r w:rsidRPr="00DE7583">
              <w:rPr>
                <w:sz w:val="22"/>
                <w:szCs w:val="22"/>
              </w:rPr>
              <w:br/>
            </w:r>
          </w:p>
          <w:p w14:paraId="731CD908" w14:textId="77777777" w:rsidR="001564A4" w:rsidRPr="00DE7583" w:rsidRDefault="001564A4" w:rsidP="00DE7583">
            <w:pPr>
              <w:pStyle w:val="Default"/>
              <w:rPr>
                <w:sz w:val="22"/>
                <w:szCs w:val="22"/>
              </w:rPr>
            </w:pPr>
          </w:p>
          <w:p w14:paraId="34BF0A0F" w14:textId="77777777" w:rsidR="001564A4" w:rsidRPr="00DE7583" w:rsidRDefault="001564A4" w:rsidP="00DE7583">
            <w:pPr>
              <w:pStyle w:val="Default"/>
              <w:rPr>
                <w:sz w:val="22"/>
                <w:szCs w:val="22"/>
              </w:rPr>
            </w:pPr>
          </w:p>
          <w:p w14:paraId="1FF1A88F" w14:textId="77777777" w:rsidR="001564A4" w:rsidRPr="00DE7583" w:rsidRDefault="001564A4" w:rsidP="00DE7583">
            <w:pPr>
              <w:pStyle w:val="Pa12"/>
              <w:spacing w:line="240" w:lineRule="auto"/>
              <w:rPr>
                <w:rStyle w:val="A4"/>
                <w:bCs/>
              </w:rPr>
            </w:pPr>
            <w:r w:rsidRPr="00DE7583">
              <w:rPr>
                <w:rStyle w:val="A4"/>
                <w:bCs/>
              </w:rPr>
              <w:br/>
            </w:r>
            <w:r w:rsidRPr="00DE7583">
              <w:rPr>
                <w:rStyle w:val="A4"/>
                <w:bCs/>
              </w:rPr>
              <w:br/>
            </w:r>
            <w:r w:rsidRPr="00DE7583">
              <w:rPr>
                <w:rStyle w:val="A4"/>
                <w:bCs/>
              </w:rPr>
              <w:br/>
            </w:r>
            <w:r w:rsidRPr="00DE7583">
              <w:rPr>
                <w:rStyle w:val="A4"/>
                <w:bCs/>
              </w:rPr>
              <w:br/>
            </w:r>
            <w:r w:rsidRPr="00DE7583">
              <w:rPr>
                <w:rStyle w:val="A4"/>
                <w:bCs/>
              </w:rPr>
              <w:br/>
            </w:r>
            <w:r w:rsidRPr="00DE7583">
              <w:rPr>
                <w:rStyle w:val="A4"/>
                <w:bCs/>
              </w:rPr>
              <w:br/>
            </w:r>
            <w:r w:rsidRPr="00DE7583">
              <w:rPr>
                <w:rStyle w:val="A4"/>
                <w:bCs/>
              </w:rPr>
              <w:br/>
            </w:r>
            <w:r w:rsidRPr="00DE7583">
              <w:rPr>
                <w:rStyle w:val="A4"/>
                <w:bCs/>
              </w:rPr>
              <w:br/>
            </w:r>
            <w:r w:rsidRPr="00DE7583">
              <w:rPr>
                <w:rStyle w:val="A4"/>
                <w:bCs/>
              </w:rPr>
              <w:br/>
            </w:r>
            <w:r w:rsidRPr="00DE7583">
              <w:rPr>
                <w:rStyle w:val="A4"/>
                <w:bCs/>
              </w:rPr>
              <w:br/>
            </w:r>
            <w:r w:rsidRPr="00DE7583">
              <w:rPr>
                <w:rStyle w:val="A4"/>
                <w:bCs/>
              </w:rPr>
              <w:br/>
            </w:r>
          </w:p>
          <w:p w14:paraId="14DC37E4" w14:textId="77777777" w:rsidR="001564A4" w:rsidRPr="00DE7583" w:rsidRDefault="001564A4" w:rsidP="00DE7583">
            <w:pPr>
              <w:pStyle w:val="Default"/>
              <w:rPr>
                <w:rStyle w:val="A4"/>
                <w:bCs/>
              </w:rPr>
            </w:pPr>
          </w:p>
          <w:p w14:paraId="5F58D34F" w14:textId="77777777" w:rsidR="001564A4" w:rsidRPr="00DE7583" w:rsidRDefault="001564A4" w:rsidP="00DE7583">
            <w:pPr>
              <w:pStyle w:val="Default"/>
              <w:rPr>
                <w:sz w:val="22"/>
                <w:szCs w:val="22"/>
                <w:lang w:val="en-US" w:eastAsia="en-GB"/>
              </w:rPr>
            </w:pP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r w:rsidRPr="00DE7583">
              <w:rPr>
                <w:sz w:val="22"/>
                <w:szCs w:val="22"/>
                <w:lang w:val="en-US" w:eastAsia="en-GB"/>
              </w:rPr>
              <w:br/>
            </w:r>
          </w:p>
        </w:tc>
      </w:tr>
    </w:tbl>
    <w:p w14:paraId="66BF5466" w14:textId="77777777" w:rsidR="003B1AA9" w:rsidRPr="003B1AA9" w:rsidRDefault="003B1AA9" w:rsidP="003B1AA9"/>
    <w:sectPr w:rsidR="003B1AA9" w:rsidRPr="003B1A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1146"/>
    <w:rsid w:val="000036FE"/>
    <w:rsid w:val="000A1FD3"/>
    <w:rsid w:val="000F22C1"/>
    <w:rsid w:val="000F5C9C"/>
    <w:rsid w:val="000F7A1F"/>
    <w:rsid w:val="00123123"/>
    <w:rsid w:val="00147C8E"/>
    <w:rsid w:val="001564A4"/>
    <w:rsid w:val="00162B13"/>
    <w:rsid w:val="00165110"/>
    <w:rsid w:val="00170650"/>
    <w:rsid w:val="00190634"/>
    <w:rsid w:val="00191FAA"/>
    <w:rsid w:val="00196962"/>
    <w:rsid w:val="001A4C6F"/>
    <w:rsid w:val="001C616D"/>
    <w:rsid w:val="002016F4"/>
    <w:rsid w:val="00226A9C"/>
    <w:rsid w:val="002A4383"/>
    <w:rsid w:val="002B6038"/>
    <w:rsid w:val="002C5E51"/>
    <w:rsid w:val="002D1906"/>
    <w:rsid w:val="002E616D"/>
    <w:rsid w:val="00363A5E"/>
    <w:rsid w:val="00370F91"/>
    <w:rsid w:val="00375B2A"/>
    <w:rsid w:val="00391499"/>
    <w:rsid w:val="003A1658"/>
    <w:rsid w:val="003B1AA9"/>
    <w:rsid w:val="003B4C73"/>
    <w:rsid w:val="003D0B80"/>
    <w:rsid w:val="003D6AFB"/>
    <w:rsid w:val="004459C9"/>
    <w:rsid w:val="00473D84"/>
    <w:rsid w:val="004C375F"/>
    <w:rsid w:val="004D78D0"/>
    <w:rsid w:val="004E4728"/>
    <w:rsid w:val="0051574E"/>
    <w:rsid w:val="00554E4D"/>
    <w:rsid w:val="00661DC6"/>
    <w:rsid w:val="006A0352"/>
    <w:rsid w:val="006A71D8"/>
    <w:rsid w:val="006B24BC"/>
    <w:rsid w:val="006D1095"/>
    <w:rsid w:val="006E5E61"/>
    <w:rsid w:val="00743C93"/>
    <w:rsid w:val="00764559"/>
    <w:rsid w:val="007735F3"/>
    <w:rsid w:val="007A12C5"/>
    <w:rsid w:val="007C153B"/>
    <w:rsid w:val="007D1785"/>
    <w:rsid w:val="008469EF"/>
    <w:rsid w:val="008803FA"/>
    <w:rsid w:val="008E1CF0"/>
    <w:rsid w:val="00900687"/>
    <w:rsid w:val="009A0DCD"/>
    <w:rsid w:val="009B1ED2"/>
    <w:rsid w:val="009E2842"/>
    <w:rsid w:val="00A253ED"/>
    <w:rsid w:val="00A30500"/>
    <w:rsid w:val="00A32DBE"/>
    <w:rsid w:val="00A76777"/>
    <w:rsid w:val="00A9577A"/>
    <w:rsid w:val="00A95EC8"/>
    <w:rsid w:val="00AC7679"/>
    <w:rsid w:val="00AD20B9"/>
    <w:rsid w:val="00AD4843"/>
    <w:rsid w:val="00B12E32"/>
    <w:rsid w:val="00B615A4"/>
    <w:rsid w:val="00B923EE"/>
    <w:rsid w:val="00B93370"/>
    <w:rsid w:val="00BE53B5"/>
    <w:rsid w:val="00BE6E99"/>
    <w:rsid w:val="00C12C9F"/>
    <w:rsid w:val="00C4202F"/>
    <w:rsid w:val="00C725AD"/>
    <w:rsid w:val="00CE0365"/>
    <w:rsid w:val="00CF22EA"/>
    <w:rsid w:val="00D40338"/>
    <w:rsid w:val="00DA661A"/>
    <w:rsid w:val="00DE7583"/>
    <w:rsid w:val="00E0700F"/>
    <w:rsid w:val="00E37757"/>
    <w:rsid w:val="00E7312C"/>
    <w:rsid w:val="00E8214C"/>
    <w:rsid w:val="00F06166"/>
    <w:rsid w:val="00F142D9"/>
    <w:rsid w:val="00F90FEE"/>
    <w:rsid w:val="00FC678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DE7583"/>
    <w:pPr>
      <w:spacing w:before="100" w:beforeAutospacing="1" w:after="100" w:afterAutospacing="1"/>
    </w:pPr>
    <w:rPr>
      <w:lang w:val="en-AU" w:eastAsia="en-GB"/>
    </w:rPr>
  </w:style>
  <w:style w:type="paragraph" w:customStyle="1" w:styleId="paragraph">
    <w:name w:val="paragraph"/>
    <w:basedOn w:val="Normal"/>
    <w:rsid w:val="00DE7583"/>
    <w:pPr>
      <w:spacing w:before="100" w:beforeAutospacing="1" w:after="100" w:afterAutospacing="1"/>
    </w:pPr>
    <w:rPr>
      <w:lang w:val="en-AU" w:eastAsia="en-GB"/>
    </w:rPr>
  </w:style>
  <w:style w:type="paragraph" w:styleId="Revision">
    <w:name w:val="Revision"/>
    <w:hidden/>
    <w:uiPriority w:val="99"/>
    <w:semiHidden/>
    <w:rsid w:val="00123123"/>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A71D8"/>
    <w:rPr>
      <w:sz w:val="16"/>
      <w:szCs w:val="16"/>
    </w:rPr>
  </w:style>
  <w:style w:type="paragraph" w:styleId="CommentText">
    <w:name w:val="annotation text"/>
    <w:basedOn w:val="Normal"/>
    <w:link w:val="CommentTextChar"/>
    <w:uiPriority w:val="99"/>
    <w:unhideWhenUsed/>
    <w:rsid w:val="006A71D8"/>
    <w:rPr>
      <w:sz w:val="20"/>
      <w:szCs w:val="20"/>
    </w:rPr>
  </w:style>
  <w:style w:type="character" w:customStyle="1" w:styleId="CommentTextChar">
    <w:name w:val="Comment Text Char"/>
    <w:basedOn w:val="DefaultParagraphFont"/>
    <w:link w:val="CommentText"/>
    <w:uiPriority w:val="99"/>
    <w:rsid w:val="006A71D8"/>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6A71D8"/>
    <w:rPr>
      <w:b/>
      <w:bCs/>
    </w:rPr>
  </w:style>
  <w:style w:type="character" w:customStyle="1" w:styleId="CommentSubjectChar">
    <w:name w:val="Comment Subject Char"/>
    <w:basedOn w:val="CommentTextChar"/>
    <w:link w:val="CommentSubject"/>
    <w:uiPriority w:val="99"/>
    <w:semiHidden/>
    <w:rsid w:val="006A71D8"/>
    <w:rPr>
      <w:rFonts w:ascii="Times New Roman" w:eastAsia="Times New Roman" w:hAnsi="Times New Roman" w:cs="Times New Roman"/>
      <w:b/>
      <w:bCs/>
      <w:lang w:val="en-GB"/>
    </w:rPr>
  </w:style>
  <w:style w:type="table" w:styleId="PlainTable5">
    <w:name w:val="Plain Table 5"/>
    <w:basedOn w:val="TableNormal"/>
    <w:uiPriority w:val="45"/>
    <w:rsid w:val="004C375F"/>
    <w:rPr>
      <w:rFonts w:asciiTheme="minorHAnsi" w:hAnsiTheme="minorHAnsi"/>
      <w:kern w:val="2"/>
      <w:sz w:val="24"/>
      <w:szCs w:val="24"/>
      <w:lang w:val="en-AU"/>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2671">
      <w:bodyDiv w:val="1"/>
      <w:marLeft w:val="0"/>
      <w:marRight w:val="0"/>
      <w:marTop w:val="0"/>
      <w:marBottom w:val="0"/>
      <w:divBdr>
        <w:top w:val="none" w:sz="0" w:space="0" w:color="auto"/>
        <w:left w:val="none" w:sz="0" w:space="0" w:color="auto"/>
        <w:bottom w:val="none" w:sz="0" w:space="0" w:color="auto"/>
        <w:right w:val="none" w:sz="0" w:space="0" w:color="auto"/>
      </w:divBdr>
    </w:div>
    <w:div w:id="150104351">
      <w:bodyDiv w:val="1"/>
      <w:marLeft w:val="0"/>
      <w:marRight w:val="0"/>
      <w:marTop w:val="0"/>
      <w:marBottom w:val="0"/>
      <w:divBdr>
        <w:top w:val="none" w:sz="0" w:space="0" w:color="auto"/>
        <w:left w:val="none" w:sz="0" w:space="0" w:color="auto"/>
        <w:bottom w:val="none" w:sz="0" w:space="0" w:color="auto"/>
        <w:right w:val="none" w:sz="0" w:space="0" w:color="auto"/>
      </w:divBdr>
    </w:div>
    <w:div w:id="962157757">
      <w:bodyDiv w:val="1"/>
      <w:marLeft w:val="0"/>
      <w:marRight w:val="0"/>
      <w:marTop w:val="0"/>
      <w:marBottom w:val="0"/>
      <w:divBdr>
        <w:top w:val="none" w:sz="0" w:space="0" w:color="auto"/>
        <w:left w:val="none" w:sz="0" w:space="0" w:color="auto"/>
        <w:bottom w:val="none" w:sz="0" w:space="0" w:color="auto"/>
        <w:right w:val="none" w:sz="0" w:space="0" w:color="auto"/>
      </w:divBdr>
    </w:div>
    <w:div w:id="1005742306">
      <w:bodyDiv w:val="1"/>
      <w:marLeft w:val="0"/>
      <w:marRight w:val="0"/>
      <w:marTop w:val="0"/>
      <w:marBottom w:val="0"/>
      <w:divBdr>
        <w:top w:val="none" w:sz="0" w:space="0" w:color="auto"/>
        <w:left w:val="none" w:sz="0" w:space="0" w:color="auto"/>
        <w:bottom w:val="none" w:sz="0" w:space="0" w:color="auto"/>
        <w:right w:val="none" w:sz="0" w:space="0" w:color="auto"/>
      </w:divBdr>
    </w:div>
    <w:div w:id="1013997959">
      <w:bodyDiv w:val="1"/>
      <w:marLeft w:val="0"/>
      <w:marRight w:val="0"/>
      <w:marTop w:val="0"/>
      <w:marBottom w:val="0"/>
      <w:divBdr>
        <w:top w:val="none" w:sz="0" w:space="0" w:color="auto"/>
        <w:left w:val="none" w:sz="0" w:space="0" w:color="auto"/>
        <w:bottom w:val="none" w:sz="0" w:space="0" w:color="auto"/>
        <w:right w:val="none" w:sz="0" w:space="0" w:color="auto"/>
      </w:divBdr>
    </w:div>
    <w:div w:id="1023286646">
      <w:bodyDiv w:val="1"/>
      <w:marLeft w:val="0"/>
      <w:marRight w:val="0"/>
      <w:marTop w:val="0"/>
      <w:marBottom w:val="0"/>
      <w:divBdr>
        <w:top w:val="none" w:sz="0" w:space="0" w:color="auto"/>
        <w:left w:val="none" w:sz="0" w:space="0" w:color="auto"/>
        <w:bottom w:val="none" w:sz="0" w:space="0" w:color="auto"/>
        <w:right w:val="none" w:sz="0" w:space="0" w:color="auto"/>
      </w:divBdr>
    </w:div>
    <w:div w:id="1076710705">
      <w:bodyDiv w:val="1"/>
      <w:marLeft w:val="0"/>
      <w:marRight w:val="0"/>
      <w:marTop w:val="0"/>
      <w:marBottom w:val="0"/>
      <w:divBdr>
        <w:top w:val="none" w:sz="0" w:space="0" w:color="auto"/>
        <w:left w:val="none" w:sz="0" w:space="0" w:color="auto"/>
        <w:bottom w:val="none" w:sz="0" w:space="0" w:color="auto"/>
        <w:right w:val="none" w:sz="0" w:space="0" w:color="auto"/>
      </w:divBdr>
    </w:div>
    <w:div w:id="1114860857">
      <w:bodyDiv w:val="1"/>
      <w:marLeft w:val="0"/>
      <w:marRight w:val="0"/>
      <w:marTop w:val="0"/>
      <w:marBottom w:val="0"/>
      <w:divBdr>
        <w:top w:val="none" w:sz="0" w:space="0" w:color="auto"/>
        <w:left w:val="none" w:sz="0" w:space="0" w:color="auto"/>
        <w:bottom w:val="none" w:sz="0" w:space="0" w:color="auto"/>
        <w:right w:val="none" w:sz="0" w:space="0" w:color="auto"/>
      </w:divBdr>
    </w:div>
    <w:div w:id="1216043829">
      <w:bodyDiv w:val="1"/>
      <w:marLeft w:val="0"/>
      <w:marRight w:val="0"/>
      <w:marTop w:val="0"/>
      <w:marBottom w:val="0"/>
      <w:divBdr>
        <w:top w:val="none" w:sz="0" w:space="0" w:color="auto"/>
        <w:left w:val="none" w:sz="0" w:space="0" w:color="auto"/>
        <w:bottom w:val="none" w:sz="0" w:space="0" w:color="auto"/>
        <w:right w:val="none" w:sz="0" w:space="0" w:color="auto"/>
      </w:divBdr>
    </w:div>
    <w:div w:id="1615599961">
      <w:bodyDiv w:val="1"/>
      <w:marLeft w:val="0"/>
      <w:marRight w:val="0"/>
      <w:marTop w:val="0"/>
      <w:marBottom w:val="0"/>
      <w:divBdr>
        <w:top w:val="none" w:sz="0" w:space="0" w:color="auto"/>
        <w:left w:val="none" w:sz="0" w:space="0" w:color="auto"/>
        <w:bottom w:val="none" w:sz="0" w:space="0" w:color="auto"/>
        <w:right w:val="none" w:sz="0" w:space="0" w:color="auto"/>
      </w:divBdr>
    </w:div>
    <w:div w:id="205739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4.xml><?xml version="1.0" encoding="utf-8"?>
<ds:datastoreItem xmlns:ds="http://schemas.openxmlformats.org/officeDocument/2006/customXml" ds:itemID="{287802AB-165C-47B4-885E-EB4524F8DA96}">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Chloe Lawler</cp:lastModifiedBy>
  <cp:revision>2</cp:revision>
  <dcterms:created xsi:type="dcterms:W3CDTF">2023-10-19T11:06:00Z</dcterms:created>
  <dcterms:modified xsi:type="dcterms:W3CDTF">2023-10-19T11:06:00Z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