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3712" w:rsidRPr="00134251" w:rsidRDefault="000A3712" w:rsidP="000A3712">
      <w:pPr>
        <w:rPr>
          <w:rFonts w:asciiTheme="minorBidi" w:hAnsiTheme="minorBidi" w:cstheme="minorBidi"/>
          <w:b/>
          <w:bCs/>
          <w:sz w:val="22"/>
          <w:szCs w:val="22"/>
        </w:rPr>
      </w:pPr>
      <w:r w:rsidRPr="00134251">
        <w:rPr>
          <w:rFonts w:asciiTheme="minorBidi" w:hAnsiTheme="minorBidi" w:cstheme="minorBidi"/>
          <w:b/>
          <w:bCs/>
          <w:sz w:val="22"/>
          <w:szCs w:val="22"/>
        </w:rPr>
        <w:t>Prevalence</w:t>
      </w:r>
      <w:r w:rsidR="008D229F" w:rsidRPr="00134251">
        <w:rPr>
          <w:rFonts w:asciiTheme="minorBidi" w:hAnsiTheme="minorBidi" w:cstheme="minorBidi"/>
          <w:b/>
          <w:bCs/>
          <w:sz w:val="22"/>
          <w:szCs w:val="22"/>
        </w:rPr>
        <w:t xml:space="preserve"> and Cardiovascular Risk Association</w:t>
      </w:r>
      <w:r w:rsidRPr="00134251">
        <w:rPr>
          <w:rFonts w:asciiTheme="minorBidi" w:hAnsiTheme="minorBidi" w:cstheme="minorBidi"/>
          <w:b/>
          <w:bCs/>
          <w:sz w:val="22"/>
          <w:szCs w:val="22"/>
        </w:rPr>
        <w:t xml:space="preserve"> of Metabolic (dysfunction) Associated </w:t>
      </w:r>
      <w:proofErr w:type="spellStart"/>
      <w:r w:rsidRPr="00134251">
        <w:rPr>
          <w:rFonts w:asciiTheme="minorBidi" w:hAnsiTheme="minorBidi" w:cstheme="minorBidi"/>
          <w:b/>
          <w:bCs/>
          <w:sz w:val="22"/>
          <w:szCs w:val="22"/>
        </w:rPr>
        <w:t>Steatotic</w:t>
      </w:r>
      <w:proofErr w:type="spellEnd"/>
      <w:r w:rsidRPr="00134251">
        <w:rPr>
          <w:rFonts w:asciiTheme="minorBidi" w:hAnsiTheme="minorBidi" w:cstheme="minorBidi"/>
          <w:b/>
          <w:bCs/>
          <w:sz w:val="22"/>
          <w:szCs w:val="22"/>
        </w:rPr>
        <w:t xml:space="preserve"> Liver Disease (</w:t>
      </w:r>
      <w:r w:rsidRPr="00134251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MASLD</w:t>
      </w:r>
      <w:r w:rsidRPr="00134251">
        <w:rPr>
          <w:rFonts w:asciiTheme="minorBidi" w:hAnsiTheme="minorBidi" w:cstheme="minorBidi"/>
          <w:b/>
          <w:bCs/>
          <w:sz w:val="22"/>
          <w:szCs w:val="22"/>
        </w:rPr>
        <w:t xml:space="preserve">) in Type 2 </w:t>
      </w:r>
      <w:r w:rsidR="008D229F" w:rsidRPr="00134251">
        <w:rPr>
          <w:rFonts w:asciiTheme="minorBidi" w:hAnsiTheme="minorBidi" w:cstheme="minorBidi"/>
          <w:b/>
          <w:bCs/>
          <w:sz w:val="22"/>
          <w:szCs w:val="22"/>
        </w:rPr>
        <w:t>D</w:t>
      </w:r>
      <w:r w:rsidRPr="00134251">
        <w:rPr>
          <w:rFonts w:asciiTheme="minorBidi" w:hAnsiTheme="minorBidi" w:cstheme="minorBidi"/>
          <w:b/>
          <w:bCs/>
          <w:sz w:val="22"/>
          <w:szCs w:val="22"/>
        </w:rPr>
        <w:t>iabetes in Ipswich Population</w:t>
      </w:r>
    </w:p>
    <w:p w:rsidR="00793FEA" w:rsidRDefault="00793FEA"/>
    <w:p w:rsidR="00134251" w:rsidRPr="00134251" w:rsidRDefault="00F0687C" w:rsidP="00134251">
      <w:pPr>
        <w:rPr>
          <w:rFonts w:asciiTheme="minorBidi" w:hAnsiTheme="minorBidi" w:cstheme="minorBidi"/>
          <w:b/>
          <w:bCs/>
          <w:sz w:val="22"/>
          <w:szCs w:val="22"/>
        </w:rPr>
      </w:pPr>
      <w:r w:rsidRPr="00134251">
        <w:rPr>
          <w:rFonts w:asciiTheme="minorBidi" w:hAnsiTheme="minorBidi" w:cstheme="minorBidi"/>
          <w:b/>
          <w:bCs/>
          <w:sz w:val="22"/>
          <w:szCs w:val="22"/>
        </w:rPr>
        <w:t>Aims:</w:t>
      </w:r>
    </w:p>
    <w:p w:rsidR="00134251" w:rsidRPr="00134251" w:rsidRDefault="00134251" w:rsidP="00134251">
      <w:pPr>
        <w:rPr>
          <w:rFonts w:asciiTheme="minorBidi" w:hAnsiTheme="minorBidi" w:cstheme="minorBidi"/>
          <w:color w:val="000000"/>
          <w:sz w:val="22"/>
          <w:szCs w:val="22"/>
        </w:rPr>
      </w:pPr>
      <w:r w:rsidRPr="00134251">
        <w:rPr>
          <w:rFonts w:asciiTheme="minorBidi" w:hAnsiTheme="minorBidi" w:cstheme="minorBidi"/>
          <w:color w:val="000000"/>
          <w:sz w:val="22"/>
          <w:szCs w:val="22"/>
        </w:rPr>
        <w:t xml:space="preserve">This study seeks to illuminate the prevalence of metabolic dysfunction-associated </w:t>
      </w:r>
      <w:proofErr w:type="spellStart"/>
      <w:r w:rsidRPr="00134251">
        <w:rPr>
          <w:rFonts w:asciiTheme="minorBidi" w:hAnsiTheme="minorBidi" w:cstheme="minorBidi"/>
          <w:color w:val="000000"/>
          <w:sz w:val="22"/>
          <w:szCs w:val="22"/>
        </w:rPr>
        <w:t>steatotic</w:t>
      </w:r>
      <w:proofErr w:type="spellEnd"/>
      <w:r w:rsidRPr="00134251">
        <w:rPr>
          <w:rFonts w:asciiTheme="minorBidi" w:hAnsiTheme="minorBidi" w:cstheme="minorBidi"/>
          <w:color w:val="000000"/>
          <w:sz w:val="22"/>
          <w:szCs w:val="22"/>
        </w:rPr>
        <w:t xml:space="preserve"> liver disease (MASLD) and the influence of type 2 diabetes mellitus (T2DM) alongside other metabolic risk factors on hepatic fibrosis, as estimated by the Fibrosis-4 (FIB-4) index and NAFLD</w:t>
      </w:r>
      <w:r w:rsidR="00483C1D">
        <w:rPr>
          <w:rFonts w:asciiTheme="minorBidi" w:hAnsiTheme="minorBidi" w:cstheme="minorBidi"/>
          <w:color w:val="000000"/>
          <w:sz w:val="22"/>
          <w:szCs w:val="22"/>
        </w:rPr>
        <w:t xml:space="preserve"> (Non-alcoholic fatty liver disease)</w:t>
      </w:r>
      <w:r w:rsidRPr="00134251">
        <w:rPr>
          <w:rFonts w:asciiTheme="minorBidi" w:hAnsiTheme="minorBidi" w:cstheme="minorBidi"/>
          <w:color w:val="000000"/>
          <w:sz w:val="22"/>
          <w:szCs w:val="22"/>
        </w:rPr>
        <w:t xml:space="preserve"> fibrosis score. The study further explores the association between MASLD and ischemic heart disease (IHD), and evaluates the impact of anti-glycaemic therapies on fibrosis progression.</w:t>
      </w:r>
    </w:p>
    <w:p w:rsidR="00134251" w:rsidRPr="00134251" w:rsidRDefault="00134251" w:rsidP="00134251">
      <w:pPr>
        <w:rPr>
          <w:rFonts w:asciiTheme="minorBidi" w:hAnsiTheme="minorBidi" w:cstheme="minorBidi"/>
          <w:b/>
          <w:bCs/>
          <w:sz w:val="22"/>
          <w:szCs w:val="22"/>
        </w:rPr>
      </w:pPr>
    </w:p>
    <w:p w:rsidR="00134251" w:rsidRPr="00134251" w:rsidRDefault="00F0687C" w:rsidP="00134251">
      <w:pPr>
        <w:rPr>
          <w:rFonts w:asciiTheme="minorBidi" w:hAnsiTheme="minorBidi" w:cstheme="minorBidi"/>
          <w:b/>
          <w:bCs/>
          <w:sz w:val="22"/>
          <w:szCs w:val="22"/>
        </w:rPr>
      </w:pPr>
      <w:r w:rsidRPr="00134251">
        <w:rPr>
          <w:rFonts w:asciiTheme="minorBidi" w:hAnsiTheme="minorBidi" w:cstheme="minorBidi"/>
          <w:b/>
          <w:bCs/>
          <w:sz w:val="22"/>
          <w:szCs w:val="22"/>
        </w:rPr>
        <w:t>Methods:</w:t>
      </w:r>
    </w:p>
    <w:p w:rsidR="00134251" w:rsidRPr="00134251" w:rsidRDefault="00134251" w:rsidP="00134251">
      <w:pPr>
        <w:spacing w:before="100" w:beforeAutospacing="1" w:after="100" w:afterAutospacing="1"/>
        <w:rPr>
          <w:rFonts w:asciiTheme="minorBidi" w:hAnsiTheme="minorBidi" w:cstheme="minorBidi"/>
          <w:color w:val="000000"/>
          <w:sz w:val="22"/>
          <w:szCs w:val="22"/>
        </w:rPr>
      </w:pPr>
      <w:r w:rsidRPr="00134251">
        <w:rPr>
          <w:rFonts w:asciiTheme="minorBidi" w:hAnsiTheme="minorBidi" w:cstheme="minorBidi"/>
          <w:color w:val="000000"/>
          <w:sz w:val="22"/>
          <w:szCs w:val="22"/>
        </w:rPr>
        <w:t>A retrospective cohort analysis was conducted using electronic health records of patients who attended the diabetes clinic at Ipswich Hospital between January and December 2024. Individuals with type 1 diabetes or alternative causes of hepatic steatosis were excluded from the study. Linear regression modelling identified predictors of advanced fibrosis (stage 3–4), as estimated by FIB-4 and NAFLD scores. Medication histories were meticulously reviewed and corroborated with primary care data.</w:t>
      </w:r>
    </w:p>
    <w:p w:rsidR="00F0687C" w:rsidRPr="00134251" w:rsidRDefault="00F0687C">
      <w:pPr>
        <w:rPr>
          <w:rFonts w:asciiTheme="minorBidi" w:hAnsiTheme="minorBidi" w:cstheme="minorBidi"/>
          <w:sz w:val="22"/>
          <w:szCs w:val="22"/>
        </w:rPr>
      </w:pPr>
      <w:r w:rsidRPr="00134251">
        <w:rPr>
          <w:rFonts w:asciiTheme="minorBidi" w:hAnsiTheme="minorBidi" w:cstheme="minorBidi"/>
          <w:b/>
          <w:bCs/>
          <w:sz w:val="22"/>
          <w:szCs w:val="22"/>
        </w:rPr>
        <w:t>Results</w:t>
      </w:r>
      <w:r w:rsidRPr="00134251">
        <w:rPr>
          <w:rFonts w:asciiTheme="minorBidi" w:hAnsiTheme="minorBidi" w:cstheme="minorBidi"/>
          <w:sz w:val="22"/>
          <w:szCs w:val="22"/>
        </w:rPr>
        <w:t>:</w:t>
      </w:r>
    </w:p>
    <w:p w:rsidR="00134251" w:rsidRPr="00134251" w:rsidRDefault="00134251" w:rsidP="00134251">
      <w:pPr>
        <w:spacing w:before="100" w:beforeAutospacing="1" w:after="100" w:afterAutospacing="1"/>
        <w:rPr>
          <w:rFonts w:asciiTheme="minorBidi" w:hAnsiTheme="minorBidi" w:cstheme="minorBidi"/>
          <w:color w:val="000000"/>
          <w:sz w:val="22"/>
          <w:szCs w:val="22"/>
        </w:rPr>
      </w:pPr>
      <w:r w:rsidRPr="00134251">
        <w:rPr>
          <w:rFonts w:asciiTheme="minorBidi" w:hAnsiTheme="minorBidi" w:cstheme="minorBidi"/>
          <w:color w:val="000000"/>
          <w:sz w:val="22"/>
          <w:szCs w:val="22"/>
        </w:rPr>
        <w:t>Although the study is ongoing, interim data from 160 out of 800 participants are presented. According to the FIB-4 index, 18.76% demonstrated high probability of advanced fibrosis, while 30.66% fell within the indeterminate range. The NAFLD score identified 22.31% at high risk and 53% as indeterminate. Among other metabolic co-morbidities, hypertension exhibited the most robust and statistically significant association with advanced fibrosis (p=0.000). A similarly strong correlation was observed between fibrosis risk and IHD (p=0.000). Notably, patients with T2DM treated with glucagon-like peptide-1 receptor agonists (GLP-1a) and sodium-glucose co-transporter-2 inhibitors (SGLT-2i) showed a markedly reduced risk of fibrosis progression (-20.55% and -25.17%, respectively).</w:t>
      </w:r>
    </w:p>
    <w:p w:rsidR="00F0687C" w:rsidRPr="00134251" w:rsidRDefault="00F0687C">
      <w:pPr>
        <w:rPr>
          <w:rFonts w:asciiTheme="minorBidi" w:hAnsiTheme="minorBidi" w:cstheme="minorBidi"/>
          <w:sz w:val="22"/>
          <w:szCs w:val="22"/>
        </w:rPr>
      </w:pPr>
    </w:p>
    <w:p w:rsidR="000A3712" w:rsidRPr="00134251" w:rsidRDefault="00F0687C" w:rsidP="00134251">
      <w:pPr>
        <w:rPr>
          <w:rFonts w:asciiTheme="minorBidi" w:hAnsiTheme="minorBidi" w:cstheme="minorBidi"/>
          <w:b/>
          <w:bCs/>
          <w:sz w:val="22"/>
          <w:szCs w:val="22"/>
        </w:rPr>
      </w:pPr>
      <w:r w:rsidRPr="00134251">
        <w:rPr>
          <w:rFonts w:asciiTheme="minorBidi" w:hAnsiTheme="minorBidi" w:cstheme="minorBidi"/>
          <w:b/>
          <w:bCs/>
          <w:sz w:val="22"/>
          <w:szCs w:val="22"/>
        </w:rPr>
        <w:t>Conclusion:</w:t>
      </w:r>
    </w:p>
    <w:p w:rsidR="00134251" w:rsidRPr="00134251" w:rsidRDefault="00134251" w:rsidP="00134251">
      <w:pPr>
        <w:spacing w:before="100" w:beforeAutospacing="1" w:after="100" w:afterAutospacing="1"/>
        <w:rPr>
          <w:rFonts w:asciiTheme="minorBidi" w:hAnsiTheme="minorBidi" w:cstheme="minorBidi"/>
          <w:color w:val="000000"/>
          <w:sz w:val="22"/>
          <w:szCs w:val="22"/>
        </w:rPr>
      </w:pPr>
      <w:r w:rsidRPr="00134251">
        <w:rPr>
          <w:rFonts w:asciiTheme="minorBidi" w:hAnsiTheme="minorBidi" w:cstheme="minorBidi"/>
          <w:color w:val="000000"/>
          <w:sz w:val="22"/>
          <w:szCs w:val="22"/>
        </w:rPr>
        <w:t>MASLD is likely under-recognised among individuals attending diabetes clinics in the Ipswich catchment. Its strong associations with cardiovascular disease underscore the systemic nature of this condition. The observed protective effects of GLP-1a and SGLT-2i therapies warrant further exploration, particularly in populations beyond those with diabetes.</w:t>
      </w:r>
    </w:p>
    <w:p w:rsidR="00134251" w:rsidRPr="009406CE" w:rsidRDefault="00134251" w:rsidP="009406CE">
      <w:pPr>
        <w:rPr>
          <w:rFonts w:asciiTheme="minorBidi" w:hAnsiTheme="minorBidi" w:cstheme="minorBidi"/>
          <w:sz w:val="22"/>
          <w:szCs w:val="22"/>
        </w:rPr>
      </w:pPr>
    </w:p>
    <w:p w:rsidR="000A3712" w:rsidRDefault="000A3712"/>
    <w:p w:rsidR="00134251" w:rsidRDefault="00134251"/>
    <w:p w:rsidR="00134251" w:rsidRDefault="00134251"/>
    <w:p w:rsidR="00134251" w:rsidRDefault="00134251"/>
    <w:p w:rsidR="00134251" w:rsidRDefault="00134251"/>
    <w:p w:rsidR="00134251" w:rsidRDefault="00134251"/>
    <w:p w:rsidR="00134251" w:rsidRDefault="00134251"/>
    <w:p w:rsidR="00134251" w:rsidRPr="00BB72A2" w:rsidRDefault="00134251" w:rsidP="00BB72A2">
      <w:pPr>
        <w:spacing w:before="100" w:beforeAutospacing="1" w:after="100" w:afterAutospacing="1"/>
        <w:rPr>
          <w:color w:val="000000"/>
        </w:rPr>
      </w:pPr>
    </w:p>
    <w:sectPr w:rsidR="00134251" w:rsidRPr="00BB7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E3766"/>
    <w:multiLevelType w:val="hybridMultilevel"/>
    <w:tmpl w:val="1E167EE2"/>
    <w:lvl w:ilvl="0" w:tplc="3528B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6E4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242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26F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A03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42E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5C0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63A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2A4F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904617F"/>
    <w:multiLevelType w:val="hybridMultilevel"/>
    <w:tmpl w:val="0AC2F5E6"/>
    <w:lvl w:ilvl="0" w:tplc="40EE5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247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D28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A204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FE5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447C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F00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1668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12B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86181027">
    <w:abstractNumId w:val="0"/>
  </w:num>
  <w:num w:numId="2" w16cid:durableId="617637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12"/>
    <w:rsid w:val="000A3712"/>
    <w:rsid w:val="00134251"/>
    <w:rsid w:val="001D4B45"/>
    <w:rsid w:val="00276FC9"/>
    <w:rsid w:val="00483C1D"/>
    <w:rsid w:val="00793FEA"/>
    <w:rsid w:val="00804592"/>
    <w:rsid w:val="008D229F"/>
    <w:rsid w:val="009406CE"/>
    <w:rsid w:val="00BB72A2"/>
    <w:rsid w:val="00D01FD5"/>
    <w:rsid w:val="00F0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79FB63"/>
  <w15:chartTrackingRefBased/>
  <w15:docId w15:val="{3C19B3E4-4911-2048-8945-94A8115C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251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06C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406C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342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0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5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9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3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6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3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1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4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1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EBF06A-7735-43A7-8A94-7A8980C08856}"/>
</file>

<file path=customXml/itemProps2.xml><?xml version="1.0" encoding="utf-8"?>
<ds:datastoreItem xmlns:ds="http://schemas.openxmlformats.org/officeDocument/2006/customXml" ds:itemID="{E5FAFA33-56E3-4676-95F9-D2D7DA9B6574}"/>
</file>

<file path=customXml/itemProps3.xml><?xml version="1.0" encoding="utf-8"?>
<ds:datastoreItem xmlns:ds="http://schemas.openxmlformats.org/officeDocument/2006/customXml" ds:itemID="{EA7A27C7-4F34-4B1E-9887-24B387A12B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 butt</dc:creator>
  <cp:keywords/>
  <dc:description/>
  <cp:lastModifiedBy>imran butt</cp:lastModifiedBy>
  <cp:revision>9</cp:revision>
  <dcterms:created xsi:type="dcterms:W3CDTF">2025-05-11T03:21:00Z</dcterms:created>
  <dcterms:modified xsi:type="dcterms:W3CDTF">2025-05-14T09:47:00Z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