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D27C0D" w:rsidRPr="0050626B" w:rsidTr="00FF5EFF">
        <w:trPr>
          <w:jc w:val="center"/>
        </w:trPr>
        <w:tc>
          <w:tcPr>
            <w:tcW w:w="8640" w:type="dxa"/>
            <w:shd w:val="clear" w:color="auto" w:fill="auto"/>
          </w:tcPr>
          <w:p w:rsidR="00D27C0D" w:rsidRPr="0050626B" w:rsidRDefault="002D0D11" w:rsidP="00FF5EFF">
            <w:pPr>
              <w:spacing w:before="120" w:after="120"/>
              <w:jc w:val="center"/>
              <w:rPr>
                <w:rFonts w:ascii="Arial" w:hAnsi="Arial" w:cs="Arial"/>
                <w:b/>
                <w:sz w:val="22"/>
                <w:szCs w:val="22"/>
                <w:lang w:val="en-US" w:eastAsia="zh-CN"/>
              </w:rPr>
            </w:pPr>
            <w:r>
              <w:rPr>
                <w:rFonts w:ascii="Arial" w:hAnsi="Arial" w:cs="Arial"/>
                <w:b/>
                <w:sz w:val="22"/>
                <w:szCs w:val="22"/>
                <w:lang w:val="en-US" w:eastAsia="zh-CN"/>
              </w:rPr>
              <w:t>Clinical value of shunt estimation test using 100% oxygen</w:t>
            </w:r>
          </w:p>
        </w:tc>
      </w:tr>
      <w:tr w:rsidR="00D27C0D" w:rsidRPr="0050626B" w:rsidTr="00FF5EFF">
        <w:trPr>
          <w:jc w:val="center"/>
        </w:trPr>
        <w:tc>
          <w:tcPr>
            <w:tcW w:w="8640" w:type="dxa"/>
            <w:shd w:val="clear" w:color="auto" w:fill="auto"/>
          </w:tcPr>
          <w:p w:rsidR="00D27C0D" w:rsidRPr="0050626B" w:rsidRDefault="002D0D11" w:rsidP="00FF5EFF">
            <w:pPr>
              <w:spacing w:before="120" w:after="120"/>
              <w:rPr>
                <w:rFonts w:ascii="Arial" w:hAnsi="Arial" w:cs="Arial"/>
                <w:i/>
                <w:sz w:val="22"/>
                <w:szCs w:val="22"/>
                <w:u w:val="single"/>
                <w:lang w:eastAsia="zh-CN"/>
              </w:rPr>
            </w:pPr>
            <w:r>
              <w:rPr>
                <w:rStyle w:val="normaltextrun"/>
                <w:rFonts w:ascii="Arial" w:hAnsi="Arial" w:cs="Arial"/>
                <w:i/>
                <w:iCs/>
                <w:color w:val="000000"/>
                <w:sz w:val="22"/>
                <w:szCs w:val="22"/>
                <w:shd w:val="clear" w:color="auto" w:fill="FFFFFF"/>
                <w:lang w:val="en-US"/>
              </w:rPr>
              <w:t>Abbey Mahon</w:t>
            </w:r>
            <w:r w:rsidRPr="0050626B">
              <w:rPr>
                <w:rStyle w:val="normaltextrun"/>
                <w:rFonts w:ascii="Arial" w:hAnsi="Arial" w:cs="Arial"/>
                <w:i/>
                <w:iCs/>
                <w:color w:val="000000"/>
                <w:sz w:val="22"/>
                <w:szCs w:val="22"/>
                <w:shd w:val="clear" w:color="auto" w:fill="FFFFFF"/>
                <w:vertAlign w:val="superscript"/>
                <w:lang w:val="en-US"/>
              </w:rPr>
              <w:t>1</w:t>
            </w:r>
            <w:r w:rsidRPr="0050626B">
              <w:rPr>
                <w:rStyle w:val="normaltextrun"/>
                <w:rFonts w:ascii="Arial" w:hAnsi="Arial" w:cs="Arial"/>
                <w:i/>
                <w:iCs/>
                <w:color w:val="000000"/>
                <w:sz w:val="22"/>
                <w:szCs w:val="22"/>
                <w:shd w:val="clear" w:color="auto" w:fill="FFFFFF"/>
                <w:lang w:val="en-US"/>
              </w:rPr>
              <w:t>, Paul Kelly</w:t>
            </w:r>
            <w:r w:rsidRPr="0050626B">
              <w:rPr>
                <w:rStyle w:val="normaltextrun"/>
                <w:rFonts w:ascii="Arial" w:hAnsi="Arial" w:cs="Arial"/>
                <w:i/>
                <w:iCs/>
                <w:color w:val="000000"/>
                <w:sz w:val="22"/>
                <w:szCs w:val="22"/>
                <w:shd w:val="clear" w:color="auto" w:fill="FFFFFF"/>
                <w:vertAlign w:val="superscript"/>
                <w:lang w:val="en-US"/>
              </w:rPr>
              <w:t>2</w:t>
            </w:r>
            <w:r>
              <w:rPr>
                <w:rStyle w:val="normaltextrun"/>
                <w:rFonts w:ascii="Arial" w:hAnsi="Arial" w:cs="Arial"/>
                <w:i/>
                <w:iCs/>
                <w:color w:val="000000"/>
                <w:sz w:val="22"/>
                <w:szCs w:val="22"/>
                <w:shd w:val="clear" w:color="auto" w:fill="FFFFFF"/>
                <w:lang w:val="en-US"/>
              </w:rPr>
              <w:t xml:space="preserve">, </w:t>
            </w:r>
            <w:r w:rsidRPr="0050626B">
              <w:rPr>
                <w:rStyle w:val="normaltextrun"/>
                <w:rFonts w:ascii="Arial" w:hAnsi="Arial" w:cs="Arial"/>
                <w:i/>
                <w:iCs/>
                <w:color w:val="000000"/>
                <w:sz w:val="22"/>
                <w:szCs w:val="22"/>
                <w:shd w:val="clear" w:color="auto" w:fill="FFFFFF"/>
                <w:lang w:val="en-US"/>
              </w:rPr>
              <w:t>Jun Yang</w:t>
            </w:r>
            <w:r w:rsidRPr="0050626B">
              <w:rPr>
                <w:rStyle w:val="normaltextrun"/>
                <w:rFonts w:ascii="Arial" w:hAnsi="Arial" w:cs="Arial"/>
                <w:i/>
                <w:iCs/>
                <w:color w:val="000000"/>
                <w:sz w:val="22"/>
                <w:szCs w:val="22"/>
                <w:shd w:val="clear" w:color="auto" w:fill="FFFFFF"/>
                <w:vertAlign w:val="superscript"/>
                <w:lang w:val="en-US"/>
              </w:rPr>
              <w:t>1</w:t>
            </w:r>
            <w:r w:rsidRPr="0050626B">
              <w:rPr>
                <w:rStyle w:val="eop"/>
                <w:rFonts w:ascii="Arial" w:hAnsi="Arial" w:cs="Arial"/>
                <w:color w:val="000000"/>
                <w:sz w:val="22"/>
                <w:szCs w:val="22"/>
                <w:shd w:val="clear" w:color="auto" w:fill="FFFFFF"/>
              </w:rPr>
              <w:t> </w:t>
            </w:r>
          </w:p>
        </w:tc>
      </w:tr>
      <w:tr w:rsidR="00D27C0D" w:rsidRPr="0050626B" w:rsidTr="00FF5EFF">
        <w:trPr>
          <w:trHeight w:val="136"/>
          <w:jc w:val="center"/>
        </w:trPr>
        <w:tc>
          <w:tcPr>
            <w:tcW w:w="8640" w:type="dxa"/>
            <w:shd w:val="clear" w:color="auto" w:fill="auto"/>
          </w:tcPr>
          <w:p w:rsidR="00D27C0D" w:rsidRPr="0050626B" w:rsidRDefault="00D27C0D" w:rsidP="00FF5EFF">
            <w:pPr>
              <w:pStyle w:val="paragraph"/>
              <w:spacing w:before="0" w:beforeAutospacing="0" w:after="0" w:afterAutospacing="0" w:line="360" w:lineRule="auto"/>
              <w:textAlignment w:val="baseline"/>
              <w:rPr>
                <w:rFonts w:ascii="Segoe UI" w:hAnsi="Segoe UI" w:cs="Segoe UI"/>
                <w:sz w:val="22"/>
                <w:szCs w:val="22"/>
              </w:rPr>
            </w:pPr>
            <w:r w:rsidRPr="0050626B">
              <w:rPr>
                <w:rStyle w:val="normaltextrun"/>
                <w:rFonts w:ascii="Arial" w:hAnsi="Arial" w:cs="Arial"/>
                <w:i/>
                <w:iCs/>
                <w:sz w:val="22"/>
                <w:szCs w:val="22"/>
                <w:vertAlign w:val="superscript"/>
                <w:lang w:val="en-US"/>
              </w:rPr>
              <w:t>1</w:t>
            </w:r>
            <w:r w:rsidRPr="0050626B">
              <w:rPr>
                <w:rStyle w:val="normaltextrun"/>
                <w:rFonts w:ascii="Arial" w:hAnsi="Arial" w:cs="Arial"/>
                <w:i/>
                <w:iCs/>
                <w:sz w:val="22"/>
                <w:szCs w:val="22"/>
                <w:lang w:val="en-US"/>
              </w:rPr>
              <w:t xml:space="preserve">Respiratory Physiology Laboratory, Christchurch </w:t>
            </w:r>
            <w:r>
              <w:rPr>
                <w:rStyle w:val="normaltextrun"/>
                <w:rFonts w:ascii="Arial" w:hAnsi="Arial" w:cs="Arial"/>
                <w:i/>
                <w:iCs/>
                <w:sz w:val="22"/>
                <w:szCs w:val="22"/>
                <w:lang w:val="en-US"/>
              </w:rPr>
              <w:t>H</w:t>
            </w:r>
            <w:r w:rsidRPr="0050626B">
              <w:rPr>
                <w:rStyle w:val="normaltextrun"/>
                <w:rFonts w:ascii="Arial" w:hAnsi="Arial" w:cs="Arial"/>
                <w:i/>
                <w:iCs/>
                <w:sz w:val="22"/>
                <w:szCs w:val="22"/>
                <w:lang w:val="en-US"/>
              </w:rPr>
              <w:t>ospital, New Zealand</w:t>
            </w:r>
            <w:r w:rsidRPr="0050626B">
              <w:rPr>
                <w:rStyle w:val="eop"/>
                <w:rFonts w:ascii="Arial" w:hAnsi="Arial" w:cs="Arial"/>
                <w:sz w:val="22"/>
                <w:szCs w:val="22"/>
              </w:rPr>
              <w:t> </w:t>
            </w:r>
          </w:p>
          <w:p w:rsidR="00D27C0D" w:rsidRPr="0050626B" w:rsidRDefault="00D27C0D" w:rsidP="00FF5EFF">
            <w:pPr>
              <w:pStyle w:val="paragraph"/>
              <w:spacing w:before="0" w:beforeAutospacing="0" w:after="0" w:afterAutospacing="0" w:line="360" w:lineRule="auto"/>
              <w:textAlignment w:val="baseline"/>
              <w:rPr>
                <w:rFonts w:ascii="Segoe UI" w:hAnsi="Segoe UI" w:cs="Segoe UI"/>
                <w:sz w:val="22"/>
                <w:szCs w:val="22"/>
              </w:rPr>
            </w:pPr>
            <w:r w:rsidRPr="0050626B">
              <w:rPr>
                <w:rStyle w:val="normaltextrun"/>
                <w:rFonts w:ascii="Arial" w:hAnsi="Arial" w:cs="Arial"/>
                <w:i/>
                <w:iCs/>
                <w:sz w:val="22"/>
                <w:szCs w:val="22"/>
                <w:vertAlign w:val="superscript"/>
                <w:lang w:val="en-US"/>
              </w:rPr>
              <w:t>2</w:t>
            </w:r>
            <w:r w:rsidRPr="0050626B">
              <w:rPr>
                <w:rStyle w:val="normaltextrun"/>
                <w:rFonts w:ascii="Arial" w:hAnsi="Arial" w:cs="Arial"/>
                <w:i/>
                <w:iCs/>
                <w:sz w:val="22"/>
                <w:szCs w:val="22"/>
                <w:lang w:val="en-US"/>
              </w:rPr>
              <w:t xml:space="preserve">Department of Respiratory Medicine, Christchurch </w:t>
            </w:r>
            <w:r>
              <w:rPr>
                <w:rStyle w:val="normaltextrun"/>
                <w:rFonts w:ascii="Arial" w:hAnsi="Arial" w:cs="Arial"/>
                <w:i/>
                <w:iCs/>
                <w:sz w:val="22"/>
                <w:szCs w:val="22"/>
                <w:lang w:val="en-US"/>
              </w:rPr>
              <w:t>H</w:t>
            </w:r>
            <w:r w:rsidRPr="0050626B">
              <w:rPr>
                <w:rStyle w:val="normaltextrun"/>
                <w:rFonts w:ascii="Arial" w:hAnsi="Arial" w:cs="Arial"/>
                <w:i/>
                <w:iCs/>
                <w:sz w:val="22"/>
                <w:szCs w:val="22"/>
                <w:lang w:val="en-US"/>
              </w:rPr>
              <w:t>ospital, New Zealand</w:t>
            </w:r>
            <w:r w:rsidRPr="0050626B">
              <w:rPr>
                <w:rStyle w:val="eop"/>
                <w:rFonts w:ascii="Arial" w:hAnsi="Arial" w:cs="Arial"/>
                <w:sz w:val="22"/>
                <w:szCs w:val="22"/>
              </w:rPr>
              <w:t> </w:t>
            </w:r>
          </w:p>
        </w:tc>
      </w:tr>
      <w:tr w:rsidR="00D27C0D" w:rsidRPr="0050626B" w:rsidTr="00FF5EFF">
        <w:trPr>
          <w:trHeight w:hRule="exact" w:val="11984"/>
          <w:jc w:val="center"/>
        </w:trPr>
        <w:tc>
          <w:tcPr>
            <w:tcW w:w="8640" w:type="dxa"/>
            <w:shd w:val="clear" w:color="auto" w:fill="auto"/>
          </w:tcPr>
          <w:p w:rsidR="002D0D11" w:rsidRDefault="002D0D11" w:rsidP="002D0D11">
            <w:pPr>
              <w:pStyle w:val="Pa12"/>
              <w:rPr>
                <w:rStyle w:val="A4"/>
                <w:bCs/>
              </w:rPr>
            </w:pPr>
            <w:r w:rsidRPr="0050626B">
              <w:rPr>
                <w:rStyle w:val="A4"/>
                <w:b/>
                <w:bCs/>
              </w:rPr>
              <w:t xml:space="preserve">Introduction/Aim: </w:t>
            </w:r>
            <w:r w:rsidRPr="00AD3CFA">
              <w:rPr>
                <w:rStyle w:val="A4"/>
                <w:bCs/>
              </w:rPr>
              <w:t>Anatomic</w:t>
            </w:r>
            <w:r>
              <w:rPr>
                <w:rStyle w:val="A4"/>
                <w:b/>
                <w:bCs/>
              </w:rPr>
              <w:t xml:space="preserve"> </w:t>
            </w:r>
            <w:r w:rsidRPr="00AD3CFA">
              <w:rPr>
                <w:rStyle w:val="A4"/>
                <w:bCs/>
              </w:rPr>
              <w:t>right</w:t>
            </w:r>
            <w:r>
              <w:rPr>
                <w:rStyle w:val="A4"/>
                <w:bCs/>
              </w:rPr>
              <w:t>-to-left shunting is a rare but important aetiology of hypoxaemia. The classical 100% oxygen shunt estimation test allows calculation of shunt fraction, which may assist identifying pathological intracardiac / intrapulmonary shunt and distinguish</w:t>
            </w:r>
            <w:r w:rsidR="00320FFC">
              <w:rPr>
                <w:rStyle w:val="A4"/>
                <w:bCs/>
              </w:rPr>
              <w:t>ing</w:t>
            </w:r>
            <w:r>
              <w:rPr>
                <w:rStyle w:val="A4"/>
                <w:bCs/>
              </w:rPr>
              <w:t xml:space="preserve"> causes of hypoxaemia. Its clinical value, however, is yet established. This study aimed to evaluate the clinical value of the shunt estimation test in the establishment of diagnosis in patients with unexplained hypoxaemia in a tertiary hospital.   </w:t>
            </w:r>
          </w:p>
          <w:p w:rsidR="002D0D11" w:rsidRDefault="002D0D11" w:rsidP="002D0D11">
            <w:pPr>
              <w:pStyle w:val="Pa12"/>
              <w:rPr>
                <w:rStyle w:val="A4"/>
                <w:b/>
                <w:bCs/>
              </w:rPr>
            </w:pPr>
            <w:r>
              <w:rPr>
                <w:rStyle w:val="A4"/>
                <w:bCs/>
              </w:rPr>
              <w:t xml:space="preserve"> </w:t>
            </w:r>
          </w:p>
          <w:p w:rsidR="002D0D11" w:rsidRDefault="002D0D11" w:rsidP="002D0D11">
            <w:pPr>
              <w:pStyle w:val="Pa12"/>
              <w:rPr>
                <w:rStyle w:val="A4"/>
                <w:bCs/>
              </w:rPr>
            </w:pPr>
            <w:r w:rsidRPr="0050626B">
              <w:rPr>
                <w:rStyle w:val="A4"/>
                <w:b/>
                <w:bCs/>
              </w:rPr>
              <w:t xml:space="preserve">Method: </w:t>
            </w:r>
            <w:r w:rsidRPr="003703C8">
              <w:rPr>
                <w:rStyle w:val="A4"/>
                <w:bCs/>
              </w:rPr>
              <w:t>All s</w:t>
            </w:r>
            <w:r>
              <w:rPr>
                <w:rStyle w:val="A4"/>
                <w:bCs/>
              </w:rPr>
              <w:t>hunt estimation tests performed between June 2012 and September 2023 were audited. Data collection included reason/s for referral, demographics and shunt test results. Any post-hoc imaging investigations were reviewed from the patient electronic medical record. The testing procedure and calculation were based on Ruppel</w:t>
            </w:r>
            <w:r>
              <w:rPr>
                <w:rStyle w:val="A4"/>
                <w:bCs/>
                <w:vertAlign w:val="superscript"/>
              </w:rPr>
              <w:t>1</w:t>
            </w:r>
            <w:r>
              <w:rPr>
                <w:rStyle w:val="A4"/>
                <w:bCs/>
              </w:rPr>
              <w:t>. The interpretive strategies of the calculated shunt fraction were: &lt; 5% (no shunt); 5-10% (likely shunt); &gt;10% (significant shunt)</w:t>
            </w:r>
            <w:r>
              <w:rPr>
                <w:rStyle w:val="A4"/>
                <w:bCs/>
                <w:vertAlign w:val="superscript"/>
              </w:rPr>
              <w:t>1</w:t>
            </w:r>
            <w:r>
              <w:rPr>
                <w:rStyle w:val="A4"/>
                <w:bCs/>
              </w:rPr>
              <w:t xml:space="preserve">. </w:t>
            </w:r>
          </w:p>
          <w:p w:rsidR="002D0D11" w:rsidRPr="00DF5CE8" w:rsidRDefault="002D0D11" w:rsidP="002D0D11">
            <w:pPr>
              <w:pStyle w:val="Default"/>
            </w:pPr>
          </w:p>
          <w:p w:rsidR="008A2338" w:rsidRPr="008A2338" w:rsidRDefault="002D0D11" w:rsidP="008A2338">
            <w:pPr>
              <w:pStyle w:val="Pa12"/>
            </w:pPr>
            <w:r w:rsidRPr="0050626B">
              <w:rPr>
                <w:rStyle w:val="A4"/>
                <w:b/>
                <w:bCs/>
              </w:rPr>
              <w:t>Results:</w:t>
            </w:r>
            <w:r>
              <w:rPr>
                <w:rStyle w:val="A4"/>
                <w:b/>
                <w:bCs/>
              </w:rPr>
              <w:t xml:space="preserve"> </w:t>
            </w:r>
            <w:r>
              <w:rPr>
                <w:rStyle w:val="A4"/>
              </w:rPr>
              <w:t xml:space="preserve">Thirty-eight tests were performed within the study window, however, 9 were excluded </w:t>
            </w:r>
            <w:r>
              <w:rPr>
                <w:rStyle w:val="A4"/>
                <w:bCs/>
              </w:rPr>
              <w:t>due to repeated tests (n=4) and established shunting before testing (n=5). Twenty-nine tests were therefore included for the analysis (19F/10M, mean ± SD age, BMI were 61±14</w:t>
            </w:r>
            <w:r w:rsidR="006D66A5">
              <w:rPr>
                <w:rStyle w:val="A4"/>
                <w:bCs/>
              </w:rPr>
              <w:t xml:space="preserve"> yrs</w:t>
            </w:r>
            <w:r>
              <w:rPr>
                <w:rStyle w:val="A4"/>
                <w:bCs/>
              </w:rPr>
              <w:t>, 33.7 ± 7.0). All patients were referred for investigating unexplained hypoxaemia and associated dyspnoea</w:t>
            </w:r>
            <w:r w:rsidR="006D66A5">
              <w:rPr>
                <w:rStyle w:val="A4"/>
                <w:bCs/>
              </w:rPr>
              <w:t xml:space="preserve"> </w:t>
            </w:r>
            <w:r>
              <w:rPr>
                <w:rStyle w:val="A4"/>
                <w:bCs/>
              </w:rPr>
              <w:t>/</w:t>
            </w:r>
            <w:r w:rsidR="006D66A5">
              <w:rPr>
                <w:rStyle w:val="A4"/>
                <w:bCs/>
              </w:rPr>
              <w:t xml:space="preserve"> </w:t>
            </w:r>
            <w:r>
              <w:rPr>
                <w:rStyle w:val="A4"/>
                <w:bCs/>
              </w:rPr>
              <w:t>syncope</w:t>
            </w:r>
            <w:r w:rsidR="00B80D42">
              <w:rPr>
                <w:rStyle w:val="A4"/>
                <w:bCs/>
              </w:rPr>
              <w:t xml:space="preserve">. </w:t>
            </w:r>
            <w:r>
              <w:rPr>
                <w:rStyle w:val="A4"/>
                <w:bCs/>
              </w:rPr>
              <w:t>Patients with a shunt &gt;10% (n=17) had lower baseline arterial PO</w:t>
            </w:r>
            <w:r w:rsidRPr="00660731">
              <w:rPr>
                <w:rStyle w:val="A4"/>
                <w:bCs/>
                <w:vertAlign w:val="subscript"/>
              </w:rPr>
              <w:t>2</w:t>
            </w:r>
            <w:r>
              <w:rPr>
                <w:rStyle w:val="A4"/>
                <w:bCs/>
              </w:rPr>
              <w:t xml:space="preserve"> (55.6 ± 10.7 mmHg vs 70.4 ± 14.6 mmHg, p = 0.004) and saturation (87.8 ± 6.1% vs 93.5 ± 4.4%, p=0.016) compared with those with </w:t>
            </w:r>
            <w:r w:rsidR="006D66A5">
              <w:rPr>
                <w:rStyle w:val="A4"/>
                <w:bCs/>
              </w:rPr>
              <w:t xml:space="preserve">a </w:t>
            </w:r>
            <w:r>
              <w:rPr>
                <w:rStyle w:val="A4"/>
                <w:bCs/>
              </w:rPr>
              <w:t xml:space="preserve">shunt &lt; 10% (n=12). The categorized shunt fractions, further </w:t>
            </w:r>
            <w:r w:rsidR="00CF57B3">
              <w:rPr>
                <w:rStyle w:val="A4"/>
                <w:bCs/>
              </w:rPr>
              <w:t xml:space="preserve">post-hoc </w:t>
            </w:r>
            <w:r>
              <w:rPr>
                <w:rStyle w:val="A4"/>
                <w:bCs/>
              </w:rPr>
              <w:t>imaging investigation and their findings are tabulated as below.</w:t>
            </w:r>
          </w:p>
          <w:p w:rsidR="002D0D11" w:rsidRDefault="00C9213E" w:rsidP="002D0D11">
            <w:pPr>
              <w:pStyle w:val="Default"/>
              <w:jc w:val="center"/>
            </w:pPr>
            <w:r>
              <w:object w:dxaOrig="921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pt;height:113.85pt" o:ole="">
                  <v:imagedata r:id="rId4" o:title=""/>
                </v:shape>
                <o:OLEObject Type="Embed" ProgID="PBrush" ShapeID="_x0000_i1025" DrawAspect="Content" ObjectID="_1759312593" r:id="rId5"/>
              </w:object>
            </w:r>
          </w:p>
          <w:p w:rsidR="002D0D11" w:rsidRDefault="002D0D11" w:rsidP="002D0D11">
            <w:pPr>
              <w:pStyle w:val="Pa12"/>
              <w:rPr>
                <w:rStyle w:val="A4"/>
                <w:b/>
                <w:bCs/>
              </w:rPr>
            </w:pPr>
          </w:p>
          <w:p w:rsidR="002D0D11" w:rsidRDefault="002D0D11" w:rsidP="002D0D11">
            <w:pPr>
              <w:pStyle w:val="Pa12"/>
              <w:rPr>
                <w:rStyle w:val="A4"/>
                <w:bCs/>
              </w:rPr>
            </w:pPr>
            <w:r w:rsidRPr="0050626B">
              <w:rPr>
                <w:rStyle w:val="A4"/>
                <w:b/>
                <w:bCs/>
              </w:rPr>
              <w:t xml:space="preserve">Conclusion: </w:t>
            </w:r>
            <w:r w:rsidRPr="000B6BC8">
              <w:rPr>
                <w:rStyle w:val="A4"/>
                <w:bCs/>
              </w:rPr>
              <w:t>Subjects with</w:t>
            </w:r>
            <w:r>
              <w:rPr>
                <w:rStyle w:val="A4"/>
                <w:b/>
                <w:bCs/>
              </w:rPr>
              <w:t xml:space="preserve"> </w:t>
            </w:r>
            <w:r>
              <w:rPr>
                <w:rStyle w:val="A4"/>
                <w:bCs/>
              </w:rPr>
              <w:t>a shunt fraction &gt; 10% had lower arterial PO</w:t>
            </w:r>
            <w:r w:rsidRPr="000B6BC8">
              <w:rPr>
                <w:rStyle w:val="A4"/>
                <w:bCs/>
                <w:vertAlign w:val="subscript"/>
              </w:rPr>
              <w:t>2</w:t>
            </w:r>
            <w:r>
              <w:rPr>
                <w:rStyle w:val="A4"/>
                <w:bCs/>
              </w:rPr>
              <w:t xml:space="preserve"> and saturation. </w:t>
            </w:r>
            <w:r w:rsidRPr="00851E21">
              <w:rPr>
                <w:rStyle w:val="A4"/>
                <w:bCs/>
              </w:rPr>
              <w:t xml:space="preserve">While </w:t>
            </w:r>
            <w:r>
              <w:rPr>
                <w:rStyle w:val="A4"/>
                <w:bCs/>
              </w:rPr>
              <w:t>a low shunt fraction appeared to help rule out significant right-to-left shunt, a surprising</w:t>
            </w:r>
            <w:r w:rsidR="000B2E9D">
              <w:rPr>
                <w:rStyle w:val="A4"/>
                <w:bCs/>
              </w:rPr>
              <w:t>ly</w:t>
            </w:r>
            <w:r>
              <w:rPr>
                <w:rStyle w:val="A4"/>
                <w:bCs/>
              </w:rPr>
              <w:t xml:space="preserve"> high percentage of patients with a shunt fraction suggesting likely or significant shunt were not further investigated. In patients who were investigated by imaging, only small percentages (</w:t>
            </w:r>
            <w:r w:rsidR="000B2E9D">
              <w:rPr>
                <w:rStyle w:val="A4"/>
                <w:bCs/>
              </w:rPr>
              <w:t>34</w:t>
            </w:r>
            <w:r>
              <w:rPr>
                <w:rStyle w:val="A4"/>
                <w:bCs/>
              </w:rPr>
              <w:t xml:space="preserve">% in likely shunt and </w:t>
            </w:r>
            <w:r w:rsidR="000B2E9D">
              <w:rPr>
                <w:rStyle w:val="A4"/>
                <w:bCs/>
              </w:rPr>
              <w:t>25</w:t>
            </w:r>
            <w:r>
              <w:rPr>
                <w:rStyle w:val="A4"/>
                <w:bCs/>
              </w:rPr>
              <w:t>% in significant shunt) were confirmed by imaging, suggesting the sensitivity of the shunt estimation test in detecting significant right-to-left shunt is low, but can be used as a</w:t>
            </w:r>
            <w:r w:rsidR="00B80D42">
              <w:rPr>
                <w:rStyle w:val="A4"/>
                <w:bCs/>
              </w:rPr>
              <w:t xml:space="preserve"> </w:t>
            </w:r>
            <w:r>
              <w:rPr>
                <w:rStyle w:val="A4"/>
                <w:bCs/>
              </w:rPr>
              <w:t xml:space="preserve">useful, simple and non-invasive screening test. </w:t>
            </w:r>
          </w:p>
          <w:p w:rsidR="008A2338" w:rsidRPr="008A2338" w:rsidRDefault="008A2338" w:rsidP="008A2338">
            <w:pPr>
              <w:pStyle w:val="Default"/>
            </w:pPr>
          </w:p>
          <w:p w:rsidR="002D0D11" w:rsidRDefault="002D0D11" w:rsidP="00B80D42">
            <w:pPr>
              <w:pStyle w:val="Pa12"/>
              <w:rPr>
                <w:rStyle w:val="A4"/>
                <w:b/>
                <w:bCs/>
              </w:rPr>
            </w:pPr>
            <w:r w:rsidRPr="0050626B">
              <w:rPr>
                <w:rStyle w:val="A4"/>
                <w:b/>
                <w:bCs/>
              </w:rPr>
              <w:t>Key Words</w:t>
            </w:r>
            <w:r w:rsidRPr="0050626B">
              <w:rPr>
                <w:rStyle w:val="A4"/>
                <w:b/>
              </w:rPr>
              <w:t>:</w:t>
            </w:r>
            <w:r w:rsidRPr="0050626B">
              <w:rPr>
                <w:rStyle w:val="A4"/>
              </w:rPr>
              <w:t xml:space="preserve"> </w:t>
            </w:r>
            <w:r w:rsidRPr="00AC019C">
              <w:rPr>
                <w:rStyle w:val="A4"/>
                <w:bCs/>
              </w:rPr>
              <w:t>Shunt, hypoxaemia, pulmonary function test</w:t>
            </w:r>
            <w:r w:rsidRPr="0050626B">
              <w:rPr>
                <w:sz w:val="22"/>
                <w:szCs w:val="22"/>
              </w:rPr>
              <w:br/>
            </w:r>
            <w:r w:rsidRPr="0050626B">
              <w:rPr>
                <w:rStyle w:val="A4"/>
                <w:b/>
                <w:bCs/>
              </w:rPr>
              <w:t>Nomination for New Investigator Award</w:t>
            </w:r>
            <w:r>
              <w:rPr>
                <w:rStyle w:val="A4"/>
                <w:b/>
                <w:bCs/>
              </w:rPr>
              <w:t>:</w:t>
            </w:r>
            <w:r w:rsidRPr="000B44FB">
              <w:rPr>
                <w:rStyle w:val="A4"/>
                <w:bCs/>
              </w:rPr>
              <w:t xml:space="preserve"> </w:t>
            </w:r>
            <w:r w:rsidR="00250FAF">
              <w:rPr>
                <w:rStyle w:val="A4"/>
                <w:bCs/>
              </w:rPr>
              <w:t>NO</w:t>
            </w:r>
            <w:bookmarkStart w:id="0" w:name="_GoBack"/>
            <w:bookmarkEnd w:id="0"/>
          </w:p>
          <w:p w:rsidR="002D0D11" w:rsidRPr="0050626B" w:rsidRDefault="002D0D11" w:rsidP="002D0D11">
            <w:pPr>
              <w:pStyle w:val="Pa12"/>
              <w:rPr>
                <w:rStyle w:val="A4"/>
                <w:bCs/>
              </w:rPr>
            </w:pPr>
            <w:r w:rsidRPr="0050626B">
              <w:rPr>
                <w:rStyle w:val="A4"/>
                <w:b/>
                <w:bCs/>
              </w:rPr>
              <w:t xml:space="preserve">Grant Support: </w:t>
            </w:r>
            <w:r>
              <w:rPr>
                <w:rStyle w:val="A4"/>
                <w:bCs/>
              </w:rPr>
              <w:t xml:space="preserve">None                                                                                             </w:t>
            </w:r>
          </w:p>
          <w:p w:rsidR="00D27C0D" w:rsidRPr="0050626B" w:rsidRDefault="002D0D11" w:rsidP="002D0D11">
            <w:pPr>
              <w:pStyle w:val="Default"/>
              <w:rPr>
                <w:sz w:val="22"/>
                <w:szCs w:val="22"/>
                <w:lang w:val="en-US" w:eastAsia="en-GB"/>
              </w:rPr>
            </w:pPr>
            <w:r>
              <w:rPr>
                <w:rStyle w:val="A4"/>
                <w:bCs/>
              </w:rPr>
              <w:t>Reference: 1. Ruppel G (2008). Manual of pulmonary function testing (9</w:t>
            </w:r>
            <w:r w:rsidRPr="00A1296F">
              <w:rPr>
                <w:rStyle w:val="A4"/>
                <w:bCs/>
                <w:vertAlign w:val="superscript"/>
              </w:rPr>
              <w:t>th</w:t>
            </w:r>
            <w:r>
              <w:rPr>
                <w:rStyle w:val="A4"/>
                <w:bCs/>
              </w:rPr>
              <w:t xml:space="preserve"> Ed).</w:t>
            </w:r>
            <w:r w:rsidR="00B80D42">
              <w:rPr>
                <w:rStyle w:val="A4"/>
                <w:bCs/>
              </w:rPr>
              <w:t xml:space="preserve"> </w:t>
            </w:r>
            <w:r>
              <w:rPr>
                <w:rStyle w:val="A4"/>
                <w:bCs/>
              </w:rPr>
              <w:t>Mosby.</w:t>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r w:rsidR="00D27C0D" w:rsidRPr="0050626B">
              <w:rPr>
                <w:sz w:val="22"/>
                <w:szCs w:val="22"/>
                <w:lang w:val="en-US" w:eastAsia="en-GB"/>
              </w:rPr>
              <w:br/>
            </w:r>
          </w:p>
        </w:tc>
      </w:tr>
    </w:tbl>
    <w:p w:rsidR="008B4105" w:rsidRDefault="008B4105"/>
    <w:sectPr w:rsidR="008B4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0D"/>
    <w:rsid w:val="000B2E9D"/>
    <w:rsid w:val="000B6116"/>
    <w:rsid w:val="00250FAF"/>
    <w:rsid w:val="0027139D"/>
    <w:rsid w:val="002D0D11"/>
    <w:rsid w:val="00320FFC"/>
    <w:rsid w:val="006D66A5"/>
    <w:rsid w:val="008A2338"/>
    <w:rsid w:val="008B4105"/>
    <w:rsid w:val="00B80D42"/>
    <w:rsid w:val="00C9213E"/>
    <w:rsid w:val="00CF57B3"/>
    <w:rsid w:val="00D27C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8901E9"/>
  <w15:chartTrackingRefBased/>
  <w15:docId w15:val="{06E89BB5-A98C-4184-89BE-A3485A2D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C0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C0D"/>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D27C0D"/>
    <w:rPr>
      <w:color w:val="000000"/>
      <w:sz w:val="22"/>
      <w:szCs w:val="22"/>
    </w:rPr>
  </w:style>
  <w:style w:type="paragraph" w:customStyle="1" w:styleId="Pa12">
    <w:name w:val="Pa12"/>
    <w:basedOn w:val="Default"/>
    <w:next w:val="Default"/>
    <w:uiPriority w:val="99"/>
    <w:rsid w:val="00D27C0D"/>
    <w:pPr>
      <w:spacing w:line="241" w:lineRule="atLeast"/>
    </w:pPr>
    <w:rPr>
      <w:color w:val="auto"/>
    </w:rPr>
  </w:style>
  <w:style w:type="character" w:customStyle="1" w:styleId="normaltextrun">
    <w:name w:val="normaltextrun"/>
    <w:basedOn w:val="DefaultParagraphFont"/>
    <w:rsid w:val="00D27C0D"/>
  </w:style>
  <w:style w:type="character" w:customStyle="1" w:styleId="eop">
    <w:name w:val="eop"/>
    <w:basedOn w:val="DefaultParagraphFont"/>
    <w:rsid w:val="00D27C0D"/>
  </w:style>
  <w:style w:type="paragraph" w:customStyle="1" w:styleId="paragraph">
    <w:name w:val="paragraph"/>
    <w:basedOn w:val="Normal"/>
    <w:rsid w:val="00D27C0D"/>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9589C91F.dotm</Template>
  <TotalTime>0</TotalTime>
  <Pages>2</Pages>
  <Words>437</Words>
  <Characters>2494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Yang</dc:creator>
  <cp:keywords/>
  <dc:description/>
  <cp:lastModifiedBy>Abbey Mahon</cp:lastModifiedBy>
  <cp:revision>2</cp:revision>
  <dcterms:created xsi:type="dcterms:W3CDTF">2023-10-20T00:10:00Z</dcterms:created>
  <dcterms:modified xsi:type="dcterms:W3CDTF">2023-10-20T00:10:00Z</dcterms:modified>
</cp:coreProperties>
</file>