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4"/>
      </w:tblGrid>
      <w:tr w:rsidR="001564A4" w:rsidRPr="00DF40D5" w14:paraId="5C38377B" w14:textId="77777777" w:rsidTr="00C82FD3">
        <w:trPr>
          <w:trHeight w:val="938"/>
          <w:jc w:val="center"/>
        </w:trPr>
        <w:tc>
          <w:tcPr>
            <w:tcW w:w="9374" w:type="dxa"/>
            <w:shd w:val="clear" w:color="auto" w:fill="auto"/>
          </w:tcPr>
          <w:p w14:paraId="5C44F357" w14:textId="4DDBC138" w:rsidR="001564A4" w:rsidRPr="00DF40D5" w:rsidRDefault="00CA4F01" w:rsidP="002C6FCB">
            <w:pPr>
              <w:rPr>
                <w:rFonts w:ascii="Arial" w:hAnsi="Arial" w:cs="Arial"/>
                <w:b/>
                <w:bCs/>
                <w:sz w:val="22"/>
                <w:szCs w:val="22"/>
              </w:rPr>
            </w:pPr>
            <w:r>
              <w:rPr>
                <w:rFonts w:ascii="Arial" w:hAnsi="Arial" w:cs="Arial"/>
                <w:b/>
                <w:bCs/>
                <w:sz w:val="22"/>
                <w:szCs w:val="22"/>
              </w:rPr>
              <w:t>C</w:t>
            </w:r>
            <w:r w:rsidRPr="00DF40D5">
              <w:rPr>
                <w:rFonts w:ascii="Arial" w:hAnsi="Arial" w:cs="Arial"/>
                <w:b/>
                <w:bCs/>
                <w:sz w:val="22"/>
                <w:szCs w:val="22"/>
              </w:rPr>
              <w:t>onsideration of diversity and socioeconomic inclusions in clinical trial protocols for use of long-term antibiotics in bronchiectasis: a systemic review</w:t>
            </w:r>
          </w:p>
        </w:tc>
      </w:tr>
      <w:tr w:rsidR="001564A4" w:rsidRPr="00DF40D5" w14:paraId="0E2E035C" w14:textId="77777777" w:rsidTr="00C82FD3">
        <w:trPr>
          <w:trHeight w:val="404"/>
          <w:jc w:val="center"/>
        </w:trPr>
        <w:tc>
          <w:tcPr>
            <w:tcW w:w="9374" w:type="dxa"/>
            <w:shd w:val="clear" w:color="auto" w:fill="auto"/>
          </w:tcPr>
          <w:p w14:paraId="73B55295" w14:textId="55133D9E" w:rsidR="001564A4" w:rsidRPr="00DF40D5" w:rsidRDefault="002C6FCB" w:rsidP="002C6FCB">
            <w:pPr>
              <w:rPr>
                <w:rFonts w:ascii="Arial" w:hAnsi="Arial" w:cs="Arial"/>
                <w:sz w:val="22"/>
                <w:szCs w:val="22"/>
              </w:rPr>
            </w:pPr>
            <w:r w:rsidRPr="00DF40D5">
              <w:rPr>
                <w:rFonts w:ascii="Arial" w:hAnsi="Arial" w:cs="Arial"/>
                <w:sz w:val="22"/>
                <w:szCs w:val="22"/>
              </w:rPr>
              <w:t>Freya Berenyi</w:t>
            </w:r>
            <w:r w:rsidRPr="00DF40D5">
              <w:rPr>
                <w:rFonts w:ascii="Arial" w:hAnsi="Arial" w:cs="Arial"/>
                <w:sz w:val="22"/>
                <w:szCs w:val="22"/>
                <w:vertAlign w:val="superscript"/>
              </w:rPr>
              <w:t>1</w:t>
            </w:r>
            <w:r w:rsidRPr="00DF40D5">
              <w:rPr>
                <w:rFonts w:ascii="Arial" w:hAnsi="Arial" w:cs="Arial"/>
                <w:sz w:val="22"/>
                <w:szCs w:val="22"/>
              </w:rPr>
              <w:t>, Amy Pascoe</w:t>
            </w:r>
            <w:r w:rsidRPr="00DF40D5">
              <w:rPr>
                <w:rFonts w:ascii="Arial" w:hAnsi="Arial" w:cs="Arial"/>
                <w:sz w:val="22"/>
                <w:szCs w:val="22"/>
                <w:vertAlign w:val="superscript"/>
              </w:rPr>
              <w:t>2</w:t>
            </w:r>
            <w:r w:rsidRPr="00DF40D5">
              <w:rPr>
                <w:rFonts w:ascii="Arial" w:hAnsi="Arial" w:cs="Arial"/>
                <w:sz w:val="22"/>
                <w:szCs w:val="22"/>
              </w:rPr>
              <w:t>, Jayne Roberts</w:t>
            </w:r>
            <w:r w:rsidRPr="00DF40D5">
              <w:rPr>
                <w:rFonts w:ascii="Arial" w:hAnsi="Arial" w:cs="Arial"/>
                <w:sz w:val="22"/>
                <w:szCs w:val="22"/>
                <w:vertAlign w:val="superscript"/>
              </w:rPr>
              <w:t>3</w:t>
            </w:r>
            <w:r w:rsidRPr="00DF40D5">
              <w:rPr>
                <w:rFonts w:ascii="Arial" w:hAnsi="Arial" w:cs="Arial"/>
                <w:sz w:val="22"/>
                <w:szCs w:val="22"/>
              </w:rPr>
              <w:t>, A/Prof Natasha Smallwood</w:t>
            </w:r>
            <w:r w:rsidRPr="00DF40D5">
              <w:rPr>
                <w:rFonts w:ascii="Arial" w:hAnsi="Arial" w:cs="Arial"/>
                <w:sz w:val="22"/>
                <w:szCs w:val="22"/>
                <w:vertAlign w:val="superscript"/>
              </w:rPr>
              <w:t>2,3</w:t>
            </w:r>
            <w:r w:rsidRPr="00DF40D5">
              <w:rPr>
                <w:rFonts w:ascii="Arial" w:hAnsi="Arial" w:cs="Arial"/>
                <w:sz w:val="22"/>
                <w:szCs w:val="22"/>
              </w:rPr>
              <w:t xml:space="preserve"> </w:t>
            </w:r>
          </w:p>
        </w:tc>
      </w:tr>
      <w:tr w:rsidR="001564A4" w:rsidRPr="00DF40D5" w14:paraId="385A19D9" w14:textId="77777777" w:rsidTr="00C82FD3">
        <w:trPr>
          <w:trHeight w:val="189"/>
          <w:jc w:val="center"/>
        </w:trPr>
        <w:tc>
          <w:tcPr>
            <w:tcW w:w="9374" w:type="dxa"/>
            <w:shd w:val="clear" w:color="auto" w:fill="auto"/>
          </w:tcPr>
          <w:p w14:paraId="1143B0CE" w14:textId="77777777" w:rsidR="002C6FCB" w:rsidRPr="00DF40D5" w:rsidRDefault="002C6FCB" w:rsidP="002C6FCB">
            <w:pPr>
              <w:rPr>
                <w:rFonts w:ascii="Arial" w:hAnsi="Arial" w:cs="Arial"/>
                <w:i/>
                <w:iCs/>
                <w:sz w:val="22"/>
                <w:szCs w:val="22"/>
              </w:rPr>
            </w:pPr>
            <w:r w:rsidRPr="00DF40D5">
              <w:rPr>
                <w:rFonts w:ascii="Arial" w:hAnsi="Arial" w:cs="Arial"/>
                <w:i/>
                <w:iCs/>
                <w:sz w:val="22"/>
                <w:szCs w:val="22"/>
                <w:vertAlign w:val="superscript"/>
              </w:rPr>
              <w:t>1</w:t>
            </w:r>
            <w:r w:rsidRPr="00DF40D5">
              <w:rPr>
                <w:rFonts w:ascii="Arial" w:hAnsi="Arial" w:cs="Arial"/>
                <w:i/>
                <w:iCs/>
                <w:sz w:val="22"/>
                <w:szCs w:val="22"/>
              </w:rPr>
              <w:t>Department of Respiratory and Sleep Medicine, Royal Melbourne Hospital, Parkville VIC</w:t>
            </w:r>
          </w:p>
          <w:p w14:paraId="6354935D" w14:textId="77777777" w:rsidR="002C6FCB" w:rsidRPr="00DF40D5" w:rsidRDefault="002C6FCB" w:rsidP="002C6FCB">
            <w:pPr>
              <w:rPr>
                <w:rFonts w:ascii="Arial" w:hAnsi="Arial" w:cs="Arial"/>
                <w:i/>
                <w:iCs/>
                <w:sz w:val="22"/>
                <w:szCs w:val="22"/>
              </w:rPr>
            </w:pPr>
            <w:r w:rsidRPr="00DF40D5">
              <w:rPr>
                <w:rFonts w:ascii="Arial" w:hAnsi="Arial" w:cs="Arial"/>
                <w:i/>
                <w:iCs/>
                <w:sz w:val="22"/>
                <w:szCs w:val="22"/>
                <w:vertAlign w:val="superscript"/>
              </w:rPr>
              <w:t>2</w:t>
            </w:r>
            <w:r w:rsidRPr="00DF40D5">
              <w:rPr>
                <w:rFonts w:ascii="Arial" w:hAnsi="Arial" w:cs="Arial"/>
                <w:i/>
                <w:iCs/>
                <w:sz w:val="22"/>
                <w:szCs w:val="22"/>
              </w:rPr>
              <w:t xml:space="preserve">Respiratory </w:t>
            </w:r>
            <w:proofErr w:type="spellStart"/>
            <w:r w:rsidRPr="00DF40D5">
              <w:rPr>
                <w:rFonts w:ascii="Arial" w:hAnsi="Arial" w:cs="Arial"/>
                <w:i/>
                <w:iCs/>
                <w:sz w:val="22"/>
                <w:szCs w:val="22"/>
              </w:rPr>
              <w:t>Research@Alfred</w:t>
            </w:r>
            <w:proofErr w:type="spellEnd"/>
            <w:r w:rsidRPr="00DF40D5">
              <w:rPr>
                <w:rFonts w:ascii="Arial" w:hAnsi="Arial" w:cs="Arial"/>
                <w:i/>
                <w:iCs/>
                <w:sz w:val="22"/>
                <w:szCs w:val="22"/>
              </w:rPr>
              <w:t>, Central Clinical School, Monash University, Prahran, VIC</w:t>
            </w:r>
          </w:p>
          <w:p w14:paraId="45ED36BF" w14:textId="3EA64874" w:rsidR="001564A4" w:rsidRPr="00DF40D5" w:rsidRDefault="002C6FCB" w:rsidP="002C6FCB">
            <w:pPr>
              <w:rPr>
                <w:rFonts w:ascii="Arial" w:hAnsi="Arial" w:cs="Arial"/>
                <w:sz w:val="22"/>
                <w:szCs w:val="22"/>
                <w:vertAlign w:val="superscript"/>
              </w:rPr>
            </w:pPr>
            <w:r w:rsidRPr="00DF40D5">
              <w:rPr>
                <w:rFonts w:ascii="Arial" w:hAnsi="Arial" w:cs="Arial"/>
                <w:i/>
                <w:iCs/>
                <w:sz w:val="22"/>
                <w:szCs w:val="22"/>
                <w:vertAlign w:val="superscript"/>
              </w:rPr>
              <w:t xml:space="preserve"> 3</w:t>
            </w:r>
            <w:r w:rsidRPr="00DF40D5">
              <w:rPr>
                <w:rFonts w:ascii="Arial" w:hAnsi="Arial" w:cs="Arial"/>
                <w:i/>
                <w:iCs/>
                <w:sz w:val="22"/>
                <w:szCs w:val="22"/>
              </w:rPr>
              <w:t>Department of Respiratory and Sleep Medicine Alfred Hospital, Prahran VIC</w:t>
            </w:r>
          </w:p>
        </w:tc>
      </w:tr>
      <w:tr w:rsidR="001564A4" w:rsidRPr="00DF40D5" w14:paraId="6DAF615A" w14:textId="77777777" w:rsidTr="00C82FD3">
        <w:trPr>
          <w:trHeight w:hRule="exact" w:val="10397"/>
          <w:jc w:val="center"/>
        </w:trPr>
        <w:tc>
          <w:tcPr>
            <w:tcW w:w="9374" w:type="dxa"/>
            <w:shd w:val="clear" w:color="auto" w:fill="auto"/>
          </w:tcPr>
          <w:p w14:paraId="2251F6D5" w14:textId="5D070A01" w:rsidR="001564A4" w:rsidRPr="00DF40D5" w:rsidRDefault="001564A4" w:rsidP="000A28E2">
            <w:pPr>
              <w:pStyle w:val="Pa12"/>
              <w:rPr>
                <w:color w:val="000000"/>
                <w:sz w:val="22"/>
                <w:szCs w:val="22"/>
              </w:rPr>
            </w:pPr>
            <w:r w:rsidRPr="00DF40D5">
              <w:rPr>
                <w:rStyle w:val="A4"/>
                <w:b/>
                <w:bCs/>
              </w:rPr>
              <w:t xml:space="preserve">Introduction/Aim: </w:t>
            </w:r>
            <w:r w:rsidRPr="00DF40D5">
              <w:rPr>
                <w:sz w:val="22"/>
                <w:szCs w:val="22"/>
              </w:rPr>
              <w:br/>
            </w:r>
            <w:r w:rsidR="00C82FD3" w:rsidRPr="00DF40D5">
              <w:rPr>
                <w:sz w:val="22"/>
                <w:szCs w:val="22"/>
              </w:rPr>
              <w:t xml:space="preserve">Social determinants of health (SDH), including sex, ethnicity and socioeconomic status, are intrinsically linked to health outcomes in people with bronchiectasis. Despite their importance, these factors are often not specified in clinical trial protocols. This review examined clinical trial protocols and outcomes regarding long-term antibiotics in people with bronchiectasis to determine whether SDH are actively considered and reported. </w:t>
            </w:r>
          </w:p>
          <w:p w14:paraId="3D770CF7" w14:textId="77777777" w:rsidR="001564A4" w:rsidRPr="00DF40D5" w:rsidRDefault="001564A4" w:rsidP="000A28E2">
            <w:pPr>
              <w:pStyle w:val="Pa12"/>
              <w:rPr>
                <w:rStyle w:val="A4"/>
                <w:bCs/>
              </w:rPr>
            </w:pPr>
          </w:p>
          <w:p w14:paraId="1B39336E" w14:textId="77777777" w:rsidR="001564A4" w:rsidRPr="00DF40D5" w:rsidRDefault="001564A4" w:rsidP="000A28E2">
            <w:pPr>
              <w:pStyle w:val="Pa12"/>
              <w:rPr>
                <w:rStyle w:val="A4"/>
                <w:b/>
                <w:bCs/>
              </w:rPr>
            </w:pPr>
            <w:r w:rsidRPr="00DF40D5">
              <w:rPr>
                <w:rStyle w:val="A4"/>
                <w:b/>
                <w:bCs/>
              </w:rPr>
              <w:t xml:space="preserve">Methods: </w:t>
            </w:r>
          </w:p>
          <w:p w14:paraId="70A39F78" w14:textId="35524DFC" w:rsidR="001564A4" w:rsidRPr="00DF40D5" w:rsidRDefault="00C82FD3" w:rsidP="00C82FD3">
            <w:pPr>
              <w:rPr>
                <w:rFonts w:ascii="Arial" w:hAnsi="Arial" w:cs="Arial"/>
                <w:sz w:val="22"/>
                <w:szCs w:val="22"/>
              </w:rPr>
            </w:pPr>
            <w:r w:rsidRPr="00DF40D5">
              <w:rPr>
                <w:rFonts w:ascii="Arial" w:hAnsi="Arial" w:cs="Arial"/>
                <w:sz w:val="22"/>
                <w:szCs w:val="22"/>
              </w:rPr>
              <w:t xml:space="preserve">Three trial registries (Clinicaltrials.gov, ISRCTN and ANZCTR) and the Cochrane CENTRAL database were searched to identify trials involving adults with bronchiectasis and long-term antibiotic use (defined as four or more weeks), registered between 1/1/2000 and 1/1/2023. Data were extracted from registry records, protocols, and published results where available. Data included trial characteristics, reported recruitment strategies, pre-defined targets for different SDH groups, and reported demographics for completed trials. </w:t>
            </w:r>
          </w:p>
          <w:p w14:paraId="5029BAE6" w14:textId="77777777" w:rsidR="001564A4" w:rsidRPr="00DF40D5" w:rsidRDefault="001564A4" w:rsidP="000A28E2">
            <w:pPr>
              <w:pStyle w:val="Pa12"/>
              <w:rPr>
                <w:rStyle w:val="A4"/>
                <w:bCs/>
              </w:rPr>
            </w:pPr>
          </w:p>
          <w:p w14:paraId="6BF3F094" w14:textId="77777777" w:rsidR="001564A4" w:rsidRPr="00DF40D5" w:rsidRDefault="001564A4" w:rsidP="000A28E2">
            <w:pPr>
              <w:pStyle w:val="Pa12"/>
              <w:rPr>
                <w:rStyle w:val="A4"/>
                <w:b/>
                <w:bCs/>
              </w:rPr>
            </w:pPr>
            <w:r w:rsidRPr="00DF40D5">
              <w:rPr>
                <w:rStyle w:val="A4"/>
                <w:b/>
                <w:bCs/>
              </w:rPr>
              <w:t xml:space="preserve">Results: </w:t>
            </w:r>
          </w:p>
          <w:p w14:paraId="7D3BE134" w14:textId="77777777" w:rsidR="00C82FD3" w:rsidRPr="00DF40D5" w:rsidRDefault="00C82FD3" w:rsidP="000A28E2">
            <w:pPr>
              <w:pStyle w:val="Pa12"/>
              <w:rPr>
                <w:sz w:val="22"/>
                <w:szCs w:val="22"/>
              </w:rPr>
            </w:pPr>
            <w:r w:rsidRPr="00DF40D5">
              <w:rPr>
                <w:sz w:val="22"/>
                <w:szCs w:val="22"/>
              </w:rPr>
              <w:t xml:space="preserve">Of 83 records identified, 30 primary trials were included and 23 (76.7%) were completed with published results. 70% (n=21) had trial protocols available. There were 3527 participants in the published studies, of which 60.1% were female; only 2 studies had fewer than 50% female participants. Mean age of participants was 63.7 years. No clinical trial protocols specified ethnicity targets and only 33.3% (n=10) of published trials reported ethnicity; of these all were either entirely (n=2) or predominantly Caucasian participants (over 60% white). No registry records, protocols, or published papers described socioeconomic </w:t>
            </w:r>
          </w:p>
          <w:p w14:paraId="18F77515" w14:textId="6C43B650" w:rsidR="001564A4" w:rsidRPr="00DF40D5" w:rsidRDefault="00C82FD3" w:rsidP="000A28E2">
            <w:pPr>
              <w:pStyle w:val="Pa12"/>
              <w:rPr>
                <w:sz w:val="22"/>
                <w:szCs w:val="22"/>
              </w:rPr>
            </w:pPr>
            <w:r w:rsidRPr="00DF40D5">
              <w:rPr>
                <w:sz w:val="22"/>
                <w:szCs w:val="22"/>
              </w:rPr>
              <w:t>factors such as occupation, income education or rurality. Most trials were conducted in high income and English-speaking countries (66.7%). However, 33.3% (n=10) of trial protocols includes sites across multiple countries.</w:t>
            </w:r>
          </w:p>
          <w:p w14:paraId="68537800" w14:textId="77777777" w:rsidR="001564A4" w:rsidRPr="00DF40D5" w:rsidRDefault="001564A4" w:rsidP="000A28E2">
            <w:pPr>
              <w:pStyle w:val="Pa12"/>
              <w:rPr>
                <w:rStyle w:val="A4"/>
                <w:bCs/>
              </w:rPr>
            </w:pPr>
          </w:p>
          <w:p w14:paraId="652F7BE1" w14:textId="77777777" w:rsidR="001564A4" w:rsidRPr="00DF40D5" w:rsidRDefault="001564A4" w:rsidP="000A28E2">
            <w:pPr>
              <w:pStyle w:val="Pa12"/>
              <w:rPr>
                <w:rStyle w:val="A4"/>
                <w:b/>
                <w:bCs/>
              </w:rPr>
            </w:pPr>
            <w:r w:rsidRPr="00DF40D5">
              <w:rPr>
                <w:rStyle w:val="A4"/>
                <w:b/>
                <w:bCs/>
              </w:rPr>
              <w:t xml:space="preserve">Conclusion: </w:t>
            </w:r>
          </w:p>
          <w:p w14:paraId="196E7BAC" w14:textId="31E8B940" w:rsidR="001564A4" w:rsidRPr="00DF40D5" w:rsidRDefault="00C82FD3" w:rsidP="000A28E2">
            <w:pPr>
              <w:pStyle w:val="Pa12"/>
              <w:rPr>
                <w:rStyle w:val="A4"/>
                <w:color w:val="auto"/>
              </w:rPr>
            </w:pPr>
            <w:r w:rsidRPr="00DF40D5">
              <w:rPr>
                <w:sz w:val="22"/>
                <w:szCs w:val="22"/>
              </w:rPr>
              <w:t>SDH were not fully considered in clinical trial protocols or published results for long-term antibiotics usage in bronchiectasis. Given the critical importance of these factors in the outcomes of bronchiectasis, it is imperative that diversity is considered in future trial protocols.</w:t>
            </w:r>
            <w:r w:rsidR="001564A4" w:rsidRPr="00DF40D5">
              <w:rPr>
                <w:rStyle w:val="A4"/>
                <w:bCs/>
              </w:rPr>
              <w:br/>
            </w:r>
          </w:p>
          <w:p w14:paraId="7F8381F0" w14:textId="5E94E8BA" w:rsidR="001564A4" w:rsidRPr="00DF40D5" w:rsidRDefault="001564A4" w:rsidP="000A28E2">
            <w:pPr>
              <w:pStyle w:val="Pa12"/>
              <w:rPr>
                <w:b/>
                <w:bCs/>
                <w:color w:val="000000"/>
                <w:sz w:val="22"/>
                <w:szCs w:val="22"/>
              </w:rPr>
            </w:pPr>
            <w:r w:rsidRPr="00DF40D5">
              <w:rPr>
                <w:rStyle w:val="A4"/>
                <w:b/>
                <w:bCs/>
              </w:rPr>
              <w:t xml:space="preserve">Grant Support: </w:t>
            </w:r>
            <w:r w:rsidR="00C82FD3" w:rsidRPr="00DF40D5">
              <w:rPr>
                <w:rStyle w:val="A4"/>
              </w:rPr>
              <w:t xml:space="preserve">nil </w:t>
            </w:r>
            <w:r w:rsidRPr="00DF40D5">
              <w:rPr>
                <w:sz w:val="22"/>
                <w:szCs w:val="22"/>
              </w:rPr>
              <w:br/>
            </w:r>
          </w:p>
          <w:p w14:paraId="731CD908" w14:textId="77777777" w:rsidR="001564A4" w:rsidRPr="00DF40D5" w:rsidRDefault="001564A4" w:rsidP="000A28E2">
            <w:pPr>
              <w:pStyle w:val="Default"/>
              <w:rPr>
                <w:sz w:val="22"/>
                <w:szCs w:val="22"/>
              </w:rPr>
            </w:pPr>
          </w:p>
          <w:p w14:paraId="34BF0A0F" w14:textId="77777777" w:rsidR="001564A4" w:rsidRPr="00DF40D5" w:rsidRDefault="001564A4" w:rsidP="000A28E2">
            <w:pPr>
              <w:pStyle w:val="Default"/>
              <w:rPr>
                <w:sz w:val="22"/>
                <w:szCs w:val="22"/>
              </w:rPr>
            </w:pPr>
          </w:p>
          <w:p w14:paraId="1FF1A88F" w14:textId="77777777" w:rsidR="001564A4" w:rsidRPr="00DF40D5" w:rsidRDefault="001564A4" w:rsidP="000A28E2">
            <w:pPr>
              <w:pStyle w:val="Pa12"/>
              <w:rPr>
                <w:rStyle w:val="A4"/>
                <w:bCs/>
              </w:rPr>
            </w:pP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r w:rsidRPr="00DF40D5">
              <w:rPr>
                <w:rStyle w:val="A4"/>
                <w:bCs/>
              </w:rPr>
              <w:br/>
            </w:r>
          </w:p>
          <w:p w14:paraId="14DC37E4" w14:textId="77777777" w:rsidR="001564A4" w:rsidRPr="00DF40D5" w:rsidRDefault="001564A4" w:rsidP="000A28E2">
            <w:pPr>
              <w:pStyle w:val="Default"/>
              <w:rPr>
                <w:rStyle w:val="A4"/>
                <w:bCs/>
              </w:rPr>
            </w:pPr>
          </w:p>
          <w:p w14:paraId="5F58D34F" w14:textId="77777777" w:rsidR="001564A4" w:rsidRPr="00DF40D5" w:rsidRDefault="001564A4" w:rsidP="000A28E2">
            <w:pPr>
              <w:pStyle w:val="Default"/>
              <w:rPr>
                <w:sz w:val="22"/>
                <w:szCs w:val="22"/>
                <w:lang w:val="en-US" w:eastAsia="en-GB"/>
              </w:rPr>
            </w:pP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r w:rsidRPr="00DF40D5">
              <w:rPr>
                <w:sz w:val="22"/>
                <w:szCs w:val="22"/>
                <w:lang w:val="en-US" w:eastAsia="en-GB"/>
              </w:rPr>
              <w:br/>
            </w:r>
          </w:p>
        </w:tc>
      </w:tr>
    </w:tbl>
    <w:p w14:paraId="7C36A9DC" w14:textId="32A70617" w:rsidR="00E0700F" w:rsidRPr="00DF40D5" w:rsidRDefault="00E0700F" w:rsidP="001564A4">
      <w:pPr>
        <w:rPr>
          <w:sz w:val="22"/>
          <w:szCs w:val="22"/>
        </w:rPr>
      </w:pPr>
    </w:p>
    <w:sectPr w:rsidR="00E0700F" w:rsidRPr="00DF4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C6FCB"/>
    <w:rsid w:val="0051574E"/>
    <w:rsid w:val="007932F2"/>
    <w:rsid w:val="008803FA"/>
    <w:rsid w:val="00B12E32"/>
    <w:rsid w:val="00C82FD3"/>
    <w:rsid w:val="00CA4F01"/>
    <w:rsid w:val="00DF40D5"/>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freya berenyi</cp:lastModifiedBy>
  <cp:revision>6</cp:revision>
  <dcterms:created xsi:type="dcterms:W3CDTF">2023-10-19T03:11:00Z</dcterms:created>
  <dcterms:modified xsi:type="dcterms:W3CDTF">2023-10-19T04:45:00Z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