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41F05089" w:rsidR="001564A4" w:rsidRPr="0050053A" w:rsidRDefault="004120AD" w:rsidP="000A28E2">
            <w:pPr>
              <w:spacing w:before="120" w:after="120"/>
              <w:rPr>
                <w:rFonts w:ascii="Arial" w:hAnsi="Arial" w:cs="Arial"/>
                <w:b/>
                <w:sz w:val="22"/>
                <w:szCs w:val="22"/>
                <w:lang w:val="en-US" w:eastAsia="zh-CN"/>
              </w:rPr>
            </w:pPr>
            <w:r w:rsidRPr="00AD7EE7">
              <w:rPr>
                <w:rFonts w:ascii="Arial" w:hAnsi="Arial" w:cs="Arial"/>
                <w:b/>
                <w:sz w:val="22"/>
                <w:szCs w:val="22"/>
                <w:lang w:val="en-US" w:eastAsia="en-GB"/>
              </w:rPr>
              <w:t xml:space="preserve">Oropharyngeal </w:t>
            </w:r>
            <w:r>
              <w:rPr>
                <w:rFonts w:ascii="Arial" w:hAnsi="Arial" w:cs="Arial"/>
                <w:b/>
                <w:sz w:val="22"/>
                <w:szCs w:val="22"/>
                <w:lang w:val="en-US" w:eastAsia="en-GB"/>
              </w:rPr>
              <w:t>metagenome</w:t>
            </w:r>
            <w:r w:rsidRPr="00AD7EE7">
              <w:rPr>
                <w:rFonts w:ascii="Arial" w:hAnsi="Arial" w:cs="Arial"/>
                <w:b/>
                <w:sz w:val="22"/>
                <w:szCs w:val="22"/>
                <w:lang w:val="en-US" w:eastAsia="en-GB"/>
              </w:rPr>
              <w:t xml:space="preserve"> is associated with respiratory tract infection and mortality in residential aged care</w:t>
            </w:r>
          </w:p>
        </w:tc>
      </w:tr>
      <w:tr w:rsidR="001564A4" w:rsidRPr="0050053A" w14:paraId="0E2E035C" w14:textId="77777777" w:rsidTr="000A28E2">
        <w:trPr>
          <w:jc w:val="center"/>
        </w:trPr>
        <w:tc>
          <w:tcPr>
            <w:tcW w:w="8640" w:type="dxa"/>
            <w:shd w:val="clear" w:color="auto" w:fill="auto"/>
          </w:tcPr>
          <w:p w14:paraId="73B55295" w14:textId="6EBB1FBC" w:rsidR="001564A4" w:rsidRPr="00413B94" w:rsidRDefault="004120AD" w:rsidP="000A28E2">
            <w:pPr>
              <w:spacing w:before="120" w:after="120"/>
              <w:rPr>
                <w:rFonts w:ascii="Arial" w:hAnsi="Arial" w:cs="Arial"/>
                <w:sz w:val="22"/>
                <w:szCs w:val="22"/>
                <w:u w:val="single"/>
                <w:lang w:eastAsia="zh-CN"/>
              </w:rPr>
            </w:pPr>
            <w:r w:rsidRPr="00AD7EE7">
              <w:rPr>
                <w:rFonts w:ascii="Arial" w:hAnsi="Arial" w:cs="Arial"/>
                <w:sz w:val="22"/>
                <w:szCs w:val="22"/>
                <w:lang w:val="en-US" w:eastAsia="en-GB"/>
              </w:rPr>
              <w:t>Sophie Miller</w:t>
            </w:r>
            <w:r>
              <w:rPr>
                <w:rFonts w:ascii="Arial" w:hAnsi="Arial" w:cs="Arial"/>
                <w:sz w:val="22"/>
                <w:szCs w:val="22"/>
                <w:vertAlign w:val="superscript"/>
                <w:lang w:val="en-US" w:eastAsia="en-GB"/>
              </w:rPr>
              <w:t>1,2</w:t>
            </w:r>
            <w:r w:rsidRPr="00AD7EE7">
              <w:rPr>
                <w:rFonts w:ascii="Arial" w:hAnsi="Arial" w:cs="Arial"/>
                <w:sz w:val="22"/>
                <w:szCs w:val="22"/>
                <w:lang w:val="en-US" w:eastAsia="en-GB"/>
              </w:rPr>
              <w:t>, Frank D Zhang</w:t>
            </w:r>
            <w:r w:rsidRPr="00AD7EE7">
              <w:rPr>
                <w:rFonts w:ascii="Arial" w:hAnsi="Arial" w:cs="Arial"/>
                <w:sz w:val="22"/>
                <w:szCs w:val="22"/>
                <w:vertAlign w:val="superscript"/>
                <w:lang w:val="en-US" w:eastAsia="en-GB"/>
              </w:rPr>
              <w:t>3</w:t>
            </w:r>
            <w:r>
              <w:rPr>
                <w:rFonts w:ascii="Arial" w:hAnsi="Arial" w:cs="Arial"/>
                <w:sz w:val="22"/>
                <w:szCs w:val="22"/>
                <w:lang w:val="en-US" w:eastAsia="en-GB"/>
              </w:rPr>
              <w:t xml:space="preserve">, </w:t>
            </w:r>
            <w:r w:rsidRPr="00AD7EE7">
              <w:rPr>
                <w:rFonts w:ascii="Arial" w:hAnsi="Arial" w:cs="Arial"/>
                <w:sz w:val="22"/>
                <w:szCs w:val="22"/>
                <w:lang w:val="en-US" w:eastAsia="en-GB"/>
              </w:rPr>
              <w:t>Steven Taylor</w:t>
            </w:r>
            <w:r>
              <w:rPr>
                <w:rFonts w:ascii="Arial" w:hAnsi="Arial" w:cs="Arial"/>
                <w:sz w:val="22"/>
                <w:szCs w:val="22"/>
                <w:vertAlign w:val="superscript"/>
                <w:lang w:val="en-US" w:eastAsia="en-GB"/>
              </w:rPr>
              <w:t>1,2</w:t>
            </w:r>
            <w:r w:rsidRPr="00AD7EE7">
              <w:rPr>
                <w:rFonts w:ascii="Arial" w:hAnsi="Arial" w:cs="Arial"/>
                <w:sz w:val="22"/>
                <w:szCs w:val="22"/>
                <w:lang w:val="en-US" w:eastAsia="en-GB"/>
              </w:rPr>
              <w:t>, Lito Papanicolas</w:t>
            </w:r>
            <w:r w:rsidRPr="00AD7EE7">
              <w:rPr>
                <w:rFonts w:ascii="Arial" w:hAnsi="Arial" w:cs="Arial"/>
                <w:sz w:val="22"/>
                <w:szCs w:val="22"/>
                <w:vertAlign w:val="superscript"/>
                <w:lang w:val="en-US" w:eastAsia="en-GB"/>
              </w:rPr>
              <w:t>1,2,3</w:t>
            </w:r>
            <w:r w:rsidRPr="00AD7EE7">
              <w:rPr>
                <w:rFonts w:ascii="Arial" w:hAnsi="Arial" w:cs="Arial"/>
                <w:sz w:val="22"/>
                <w:szCs w:val="22"/>
                <w:lang w:val="en-US" w:eastAsia="en-GB"/>
              </w:rPr>
              <w:t>, Geraint Rogers</w:t>
            </w:r>
            <w:r>
              <w:rPr>
                <w:rFonts w:ascii="Arial" w:hAnsi="Arial" w:cs="Arial"/>
                <w:sz w:val="22"/>
                <w:szCs w:val="22"/>
                <w:vertAlign w:val="superscript"/>
                <w:lang w:val="en-US" w:eastAsia="en-GB"/>
              </w:rPr>
              <w:t>1,2</w:t>
            </w:r>
            <w:r w:rsidRPr="00AD7EE7">
              <w:rPr>
                <w:rFonts w:ascii="Arial" w:hAnsi="Arial" w:cs="Arial"/>
                <w:sz w:val="22"/>
                <w:szCs w:val="22"/>
                <w:lang w:val="en-US" w:eastAsia="en-GB"/>
              </w:rPr>
              <w:t xml:space="preserve">, </w:t>
            </w:r>
            <w:r w:rsidRPr="002C2E7B">
              <w:rPr>
                <w:rFonts w:ascii="Arial" w:hAnsi="Arial" w:cs="Arial"/>
                <w:sz w:val="22"/>
                <w:szCs w:val="22"/>
                <w:lang w:val="en-US" w:eastAsia="en-GB"/>
              </w:rPr>
              <w:t>GRACE Investigator Group</w:t>
            </w:r>
            <w:r>
              <w:rPr>
                <w:rFonts w:ascii="Arial" w:hAnsi="Arial" w:cs="Arial"/>
                <w:sz w:val="22"/>
                <w:szCs w:val="22"/>
                <w:vertAlign w:val="superscript"/>
                <w:lang w:val="en-US" w:eastAsia="en-GB"/>
              </w:rPr>
              <w:t>1</w:t>
            </w:r>
          </w:p>
        </w:tc>
      </w:tr>
      <w:tr w:rsidR="001564A4" w:rsidRPr="0050053A" w14:paraId="385A19D9" w14:textId="77777777" w:rsidTr="000A28E2">
        <w:trPr>
          <w:trHeight w:val="136"/>
          <w:jc w:val="center"/>
        </w:trPr>
        <w:tc>
          <w:tcPr>
            <w:tcW w:w="8640" w:type="dxa"/>
            <w:shd w:val="clear" w:color="auto" w:fill="auto"/>
          </w:tcPr>
          <w:p w14:paraId="346BAB62" w14:textId="4AC0B762" w:rsidR="004120AD" w:rsidRPr="00AD7EE7" w:rsidRDefault="004120AD" w:rsidP="004120AD">
            <w:pPr>
              <w:spacing w:before="120"/>
              <w:rPr>
                <w:rFonts w:ascii="Arial" w:hAnsi="Arial" w:cs="Arial"/>
                <w:i/>
                <w:sz w:val="22"/>
                <w:szCs w:val="22"/>
                <w:lang w:val="en-US" w:eastAsia="en-GB"/>
              </w:rPr>
            </w:pPr>
            <w:r w:rsidRPr="00A84DF3">
              <w:rPr>
                <w:rFonts w:ascii="Arial" w:hAnsi="Arial" w:cs="Arial"/>
                <w:i/>
                <w:sz w:val="22"/>
                <w:szCs w:val="22"/>
                <w:vertAlign w:val="superscript"/>
                <w:lang w:val="en-US" w:eastAsia="en-GB"/>
              </w:rPr>
              <w:t>1</w:t>
            </w:r>
            <w:r>
              <w:rPr>
                <w:rFonts w:ascii="Arial" w:hAnsi="Arial" w:cs="Arial"/>
                <w:i/>
                <w:sz w:val="22"/>
                <w:szCs w:val="22"/>
                <w:lang w:val="en-US" w:eastAsia="en-GB"/>
              </w:rPr>
              <w:t xml:space="preserve">Microbiome and Host Health Program, </w:t>
            </w:r>
            <w:r w:rsidRPr="00A84DF3">
              <w:rPr>
                <w:rFonts w:ascii="Arial" w:hAnsi="Arial" w:cs="Arial"/>
                <w:i/>
                <w:sz w:val="22"/>
                <w:szCs w:val="22"/>
                <w:lang w:val="en-US" w:eastAsia="en-GB"/>
              </w:rPr>
              <w:t>South</w:t>
            </w:r>
            <w:r w:rsidRPr="00AD7EE7">
              <w:rPr>
                <w:rFonts w:ascii="Arial" w:hAnsi="Arial" w:cs="Arial"/>
                <w:i/>
                <w:sz w:val="22"/>
                <w:szCs w:val="22"/>
                <w:lang w:val="en-US" w:eastAsia="en-GB"/>
              </w:rPr>
              <w:t xml:space="preserve"> Australian Health and Medical Research Institute, Adelaide, </w:t>
            </w:r>
            <w:r>
              <w:rPr>
                <w:rFonts w:ascii="Arial" w:hAnsi="Arial" w:cs="Arial"/>
                <w:i/>
                <w:sz w:val="22"/>
                <w:szCs w:val="22"/>
                <w:lang w:val="en-US" w:eastAsia="en-GB"/>
              </w:rPr>
              <w:t>SA</w:t>
            </w:r>
            <w:r w:rsidRPr="00AD7EE7">
              <w:rPr>
                <w:rFonts w:ascii="Arial" w:hAnsi="Arial" w:cs="Arial"/>
                <w:i/>
                <w:sz w:val="22"/>
                <w:szCs w:val="22"/>
                <w:lang w:val="en-US" w:eastAsia="en-GB"/>
              </w:rPr>
              <w:t>, Australia</w:t>
            </w:r>
          </w:p>
          <w:p w14:paraId="219AA30C" w14:textId="77777777" w:rsidR="004120AD" w:rsidRDefault="004120AD" w:rsidP="004120AD">
            <w:pPr>
              <w:rPr>
                <w:rFonts w:ascii="Arial" w:hAnsi="Arial" w:cs="Arial"/>
                <w:i/>
                <w:sz w:val="22"/>
                <w:szCs w:val="22"/>
                <w:lang w:val="en-US" w:eastAsia="en-GB"/>
              </w:rPr>
            </w:pPr>
            <w:r>
              <w:rPr>
                <w:rFonts w:ascii="Arial" w:hAnsi="Arial" w:cs="Arial"/>
                <w:i/>
                <w:sz w:val="22"/>
                <w:szCs w:val="22"/>
                <w:vertAlign w:val="superscript"/>
                <w:lang w:val="en-US" w:eastAsia="en-GB"/>
              </w:rPr>
              <w:t>2</w:t>
            </w:r>
            <w:r>
              <w:rPr>
                <w:rFonts w:ascii="Arial" w:hAnsi="Arial" w:cs="Arial"/>
                <w:i/>
                <w:sz w:val="22"/>
                <w:szCs w:val="22"/>
                <w:lang w:val="en-US" w:eastAsia="en-GB"/>
              </w:rPr>
              <w:t>College of Medicine</w:t>
            </w:r>
            <w:r w:rsidRPr="00A84DF3">
              <w:rPr>
                <w:rFonts w:ascii="Arial" w:hAnsi="Arial" w:cs="Arial"/>
                <w:i/>
                <w:sz w:val="22"/>
                <w:szCs w:val="22"/>
                <w:lang w:val="en-US" w:eastAsia="en-GB"/>
              </w:rPr>
              <w:t xml:space="preserve">, Flinders University, Bedford Park, SA, Australia. </w:t>
            </w:r>
          </w:p>
          <w:p w14:paraId="45ED36BF" w14:textId="0AB23B37" w:rsidR="001564A4" w:rsidRPr="0050053A" w:rsidRDefault="004120AD" w:rsidP="004120AD">
            <w:pPr>
              <w:spacing w:after="120"/>
              <w:rPr>
                <w:rFonts w:ascii="Arial" w:hAnsi="Arial" w:cs="Arial"/>
                <w:i/>
                <w:sz w:val="22"/>
                <w:szCs w:val="22"/>
                <w:lang w:val="en-US" w:eastAsia="en-GB"/>
              </w:rPr>
            </w:pPr>
            <w:r>
              <w:rPr>
                <w:rFonts w:ascii="Arial" w:hAnsi="Arial" w:cs="Arial"/>
                <w:i/>
                <w:sz w:val="22"/>
                <w:szCs w:val="22"/>
                <w:vertAlign w:val="superscript"/>
                <w:lang w:val="en-US" w:eastAsia="en-GB"/>
              </w:rPr>
              <w:t>3</w:t>
            </w:r>
            <w:r w:rsidRPr="00AD7EE7">
              <w:rPr>
                <w:rFonts w:ascii="Arial" w:hAnsi="Arial" w:cs="Arial"/>
                <w:i/>
                <w:sz w:val="22"/>
                <w:szCs w:val="22"/>
                <w:lang w:val="en-US" w:eastAsia="en-GB"/>
              </w:rPr>
              <w:t xml:space="preserve">Microbiology and Infectious Diseases, SA Pathology, Adelaide, </w:t>
            </w:r>
            <w:r>
              <w:rPr>
                <w:rFonts w:ascii="Arial" w:hAnsi="Arial" w:cs="Arial"/>
                <w:i/>
                <w:sz w:val="22"/>
                <w:szCs w:val="22"/>
                <w:lang w:val="en-US" w:eastAsia="en-GB"/>
              </w:rPr>
              <w:t>SA</w:t>
            </w:r>
            <w:r w:rsidRPr="00AD7EE7">
              <w:rPr>
                <w:rFonts w:ascii="Arial" w:hAnsi="Arial" w:cs="Arial"/>
                <w:i/>
                <w:sz w:val="22"/>
                <w:szCs w:val="22"/>
                <w:lang w:val="en-US" w:eastAsia="en-GB"/>
              </w:rPr>
              <w:t>, Australia</w:t>
            </w:r>
          </w:p>
        </w:tc>
      </w:tr>
      <w:tr w:rsidR="001564A4" w:rsidRPr="0050053A" w14:paraId="6DAF615A" w14:textId="77777777" w:rsidTr="004120AD">
        <w:trPr>
          <w:trHeight w:hRule="exact" w:val="10553"/>
          <w:jc w:val="center"/>
        </w:trPr>
        <w:tc>
          <w:tcPr>
            <w:tcW w:w="8640" w:type="dxa"/>
            <w:shd w:val="clear" w:color="auto" w:fill="auto"/>
          </w:tcPr>
          <w:p w14:paraId="3D770CF7" w14:textId="0256EAA4" w:rsidR="001564A4" w:rsidRPr="0050053A" w:rsidRDefault="001564A4" w:rsidP="004120AD">
            <w:pPr>
              <w:pStyle w:val="Pa12"/>
              <w:spacing w:before="120" w:after="120"/>
              <w:jc w:val="both"/>
              <w:rPr>
                <w:rStyle w:val="A4"/>
                <w:bCs/>
              </w:rPr>
            </w:pPr>
            <w:r>
              <w:rPr>
                <w:rStyle w:val="A4"/>
                <w:b/>
                <w:bCs/>
              </w:rPr>
              <w:t>Introduction/</w:t>
            </w:r>
            <w:r w:rsidRPr="0050053A">
              <w:rPr>
                <w:rStyle w:val="A4"/>
                <w:b/>
                <w:bCs/>
              </w:rPr>
              <w:t xml:space="preserve">Aim: </w:t>
            </w:r>
            <w:r w:rsidR="004120AD" w:rsidRPr="004120AD">
              <w:rPr>
                <w:rStyle w:val="A4"/>
              </w:rPr>
              <w:t>Those living in residential aged care experience high rates of adverse health outcomes, including respiratory tract infection (RTI), hospital admission, and all-cause mortality. The aim of our study was to investigate whether oropharyngeal (OP) microbiota characteristics can identify those at elevated risk.</w:t>
            </w:r>
          </w:p>
          <w:p w14:paraId="5029BAE6" w14:textId="7E835332" w:rsidR="001564A4" w:rsidRPr="004120AD" w:rsidRDefault="001564A4" w:rsidP="004120AD">
            <w:pPr>
              <w:pStyle w:val="Pa12"/>
              <w:spacing w:after="120"/>
              <w:jc w:val="both"/>
              <w:rPr>
                <w:rStyle w:val="A4"/>
              </w:rPr>
            </w:pPr>
            <w:r w:rsidRPr="0050053A">
              <w:rPr>
                <w:rStyle w:val="A4"/>
                <w:b/>
                <w:bCs/>
              </w:rPr>
              <w:t>Method</w:t>
            </w:r>
            <w:r>
              <w:rPr>
                <w:rStyle w:val="A4"/>
                <w:b/>
                <w:bCs/>
              </w:rPr>
              <w:t>s</w:t>
            </w:r>
            <w:r w:rsidRPr="0050053A">
              <w:rPr>
                <w:rStyle w:val="A4"/>
                <w:b/>
                <w:bCs/>
              </w:rPr>
              <w:t xml:space="preserve">: </w:t>
            </w:r>
            <w:r w:rsidR="004120AD" w:rsidRPr="004120AD">
              <w:rPr>
                <w:rStyle w:val="A4"/>
              </w:rPr>
              <w:t>The Generating evidence on Resistant bacteria in the Aged Care Environment (GRACE) was a cross-sectional multisite study that explored relationships between human associated microbiota with clinical outcomes in residential aged care facilities in South Australia. OP swabs were collected from 237 individuals and underwent shotgun metagenomic sequencing. Clinical data from electronic medical records were related to metagenomic features over a 12-month follow-up period.</w:t>
            </w:r>
          </w:p>
          <w:p w14:paraId="68537800" w14:textId="7B723923" w:rsidR="001564A4" w:rsidRPr="0050053A" w:rsidRDefault="004120AD" w:rsidP="004120AD">
            <w:pPr>
              <w:pStyle w:val="Pa12"/>
              <w:spacing w:after="120"/>
              <w:jc w:val="both"/>
              <w:rPr>
                <w:rStyle w:val="A4"/>
                <w:bCs/>
              </w:rPr>
            </w:pPr>
            <w:r>
              <w:rPr>
                <w:noProof/>
              </w:rPr>
              <w:drawing>
                <wp:anchor distT="0" distB="0" distL="114300" distR="114300" simplePos="0" relativeHeight="251659264" behindDoc="1" locked="0" layoutInCell="1" allowOverlap="1" wp14:anchorId="508986F7" wp14:editId="6886DA8B">
                  <wp:simplePos x="0" y="0"/>
                  <wp:positionH relativeFrom="column">
                    <wp:posOffset>2146935</wp:posOffset>
                  </wp:positionH>
                  <wp:positionV relativeFrom="paragraph">
                    <wp:posOffset>1349375</wp:posOffset>
                  </wp:positionV>
                  <wp:extent cx="3157220" cy="2105025"/>
                  <wp:effectExtent l="19050" t="19050" r="24130" b="28575"/>
                  <wp:wrapTight wrapText="bothSides">
                    <wp:wrapPolygon edited="0">
                      <wp:start x="-130" y="-195"/>
                      <wp:lineTo x="-130" y="21698"/>
                      <wp:lineTo x="21635" y="21698"/>
                      <wp:lineTo x="21635" y="-195"/>
                      <wp:lineTo x="-130" y="-195"/>
                    </wp:wrapPolygon>
                  </wp:wrapTight>
                  <wp:docPr id="71702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7220" cy="21050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564A4" w:rsidRPr="0050053A">
              <w:rPr>
                <w:rStyle w:val="A4"/>
                <w:b/>
                <w:bCs/>
              </w:rPr>
              <w:t xml:space="preserve">Results: </w:t>
            </w:r>
            <w:r w:rsidRPr="004120AD">
              <w:rPr>
                <w:rStyle w:val="A4"/>
              </w:rPr>
              <w:t xml:space="preserve">In the 12 months following OP swab collection, 62 of the 237 participants (26.2%) experienced one or more RTI, 87 (36.7%) presented to hospital once or more, and 49 (20.7%) died. OP microbiota composition differed significantly between individuals who subsequently developed RTI or died and those who did not. The strength of association with RTI diminished with time and was significant for events occurring within 90 days (p=0.02) of sample collection, but not 12 months (p=0.06). The association with mortality was similarly significant for death within 90 days (p=0.04) but not 12 months (p=0.11). Mortality was also associated with increased microbiota dispersion at 12 months (p=0.02). Of the bacterial taxa associated with adverse outcomes, the strongest associations were observed for </w:t>
            </w:r>
            <w:r w:rsidRPr="004120AD">
              <w:rPr>
                <w:rStyle w:val="A4"/>
                <w:i/>
                <w:iCs/>
              </w:rPr>
              <w:t>Staphylococcus aureus</w:t>
            </w:r>
            <w:r w:rsidRPr="004120AD">
              <w:rPr>
                <w:rStyle w:val="A4"/>
              </w:rPr>
              <w:t xml:space="preserve">. Further investigation using quantitative PCR identified </w:t>
            </w:r>
            <w:r w:rsidRPr="004120AD">
              <w:rPr>
                <w:rStyle w:val="A4"/>
                <w:i/>
                <w:iCs/>
              </w:rPr>
              <w:t>S. aureus</w:t>
            </w:r>
            <w:r w:rsidRPr="004120AD">
              <w:rPr>
                <w:rStyle w:val="A4"/>
              </w:rPr>
              <w:t xml:space="preserve"> in 27 participants, and detection was strongly associated with increased 90-day mortality (23.1% vs 5.0%, p=0.002) and 12-month mortality (57.7% vs 16.8%, p&lt;0.001) (</w:t>
            </w:r>
            <w:r>
              <w:rPr>
                <w:rStyle w:val="A4"/>
              </w:rPr>
              <w:t xml:space="preserve">see </w:t>
            </w:r>
            <w:r w:rsidRPr="004120AD">
              <w:rPr>
                <w:rStyle w:val="A4"/>
                <w:b/>
                <w:bCs/>
              </w:rPr>
              <w:t>Figure</w:t>
            </w:r>
            <w:r w:rsidRPr="004120AD">
              <w:rPr>
                <w:rStyle w:val="A4"/>
              </w:rPr>
              <w:t>).</w:t>
            </w:r>
            <w:r>
              <w:rPr>
                <w:noProof/>
              </w:rPr>
              <w:t xml:space="preserve"> </w:t>
            </w:r>
          </w:p>
          <w:p w14:paraId="652F7BE1" w14:textId="19D7DD27" w:rsidR="001564A4" w:rsidRPr="0050053A" w:rsidRDefault="001564A4" w:rsidP="004120AD">
            <w:pPr>
              <w:pStyle w:val="Pa12"/>
              <w:spacing w:after="120"/>
              <w:jc w:val="both"/>
              <w:rPr>
                <w:rStyle w:val="A4"/>
                <w:b/>
                <w:bCs/>
              </w:rPr>
            </w:pPr>
            <w:r w:rsidRPr="0050053A">
              <w:rPr>
                <w:rStyle w:val="A4"/>
                <w:b/>
                <w:bCs/>
              </w:rPr>
              <w:t xml:space="preserve">Conclusion: </w:t>
            </w:r>
            <w:r w:rsidR="004120AD" w:rsidRPr="004120AD">
              <w:rPr>
                <w:rStyle w:val="A4"/>
              </w:rPr>
              <w:t xml:space="preserve">Oropharyngeal microbiota composition is associated with increased risk of respiratory tract infection and all-cause mortality in aged care residents. Notably, </w:t>
            </w:r>
            <w:r w:rsidR="004120AD" w:rsidRPr="004120AD">
              <w:rPr>
                <w:rStyle w:val="A4"/>
                <w:i/>
                <w:iCs/>
              </w:rPr>
              <w:t>S. aureus</w:t>
            </w:r>
            <w:r w:rsidR="004120AD" w:rsidRPr="004120AD">
              <w:rPr>
                <w:rStyle w:val="A4"/>
              </w:rPr>
              <w:t xml:space="preserve"> detection is strongly associated with high 90-day and 12-month all-cause mortality risk.</w:t>
            </w:r>
          </w:p>
          <w:p w14:paraId="3E8B4283" w14:textId="3DFC46B1" w:rsidR="001564A4" w:rsidRPr="004120AD" w:rsidRDefault="001564A4" w:rsidP="004120AD">
            <w:pPr>
              <w:pStyle w:val="Pa12"/>
              <w:spacing w:after="120"/>
              <w:jc w:val="both"/>
              <w:rPr>
                <w:rStyle w:val="A4"/>
              </w:rPr>
            </w:pPr>
            <w:r w:rsidRPr="0050053A">
              <w:rPr>
                <w:rStyle w:val="A4"/>
                <w:b/>
                <w:bCs/>
              </w:rPr>
              <w:t xml:space="preserve">Grant Support: </w:t>
            </w:r>
            <w:r w:rsidR="004120AD" w:rsidRPr="004120AD">
              <w:rPr>
                <w:rStyle w:val="A4"/>
              </w:rPr>
              <w:t>Medical Research Future Fund GNT1152268</w:t>
            </w:r>
          </w:p>
          <w:p w14:paraId="2C6FDE45" w14:textId="5AAEB8DC" w:rsidR="004120AD" w:rsidRPr="004120AD" w:rsidRDefault="004120AD" w:rsidP="004120AD">
            <w:pPr>
              <w:pStyle w:val="Default"/>
              <w:spacing w:after="120"/>
              <w:jc w:val="both"/>
            </w:pPr>
            <w:r w:rsidRPr="00AD7EE7">
              <w:rPr>
                <w:rStyle w:val="A4"/>
                <w:b/>
              </w:rPr>
              <w:t>Key words:</w:t>
            </w:r>
            <w:r w:rsidRPr="00AD7EE7">
              <w:rPr>
                <w:rStyle w:val="A4"/>
                <w:bCs/>
              </w:rPr>
              <w:t xml:space="preserve"> Oropharyngeal microbiome, respiratory tract infection, all-cause mortality</w:t>
            </w:r>
          </w:p>
          <w:p w14:paraId="7F8381F0" w14:textId="77777777" w:rsidR="001564A4" w:rsidRDefault="001564A4" w:rsidP="004120AD">
            <w:pPr>
              <w:pStyle w:val="Pa12"/>
              <w:jc w:val="both"/>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4120AD">
            <w:pPr>
              <w:pStyle w:val="Default"/>
              <w:jc w:val="both"/>
            </w:pPr>
          </w:p>
          <w:p w14:paraId="34BF0A0F" w14:textId="77777777" w:rsidR="001564A4" w:rsidRPr="003E35F0" w:rsidRDefault="001564A4" w:rsidP="004120AD">
            <w:pPr>
              <w:pStyle w:val="Default"/>
              <w:jc w:val="both"/>
            </w:pPr>
          </w:p>
          <w:p w14:paraId="1FF1A88F" w14:textId="77777777" w:rsidR="001564A4" w:rsidRPr="0050053A" w:rsidRDefault="001564A4" w:rsidP="004120AD">
            <w:pPr>
              <w:pStyle w:val="Pa12"/>
              <w:jc w:val="both"/>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4120AD">
            <w:pPr>
              <w:pStyle w:val="Default"/>
              <w:jc w:val="both"/>
              <w:rPr>
                <w:rStyle w:val="A4"/>
                <w:bCs/>
              </w:rPr>
            </w:pPr>
          </w:p>
          <w:p w14:paraId="5F58D34F" w14:textId="77777777" w:rsidR="001564A4" w:rsidRPr="0050053A" w:rsidRDefault="001564A4" w:rsidP="004120AD">
            <w:pPr>
              <w:pStyle w:val="Default"/>
              <w:jc w:val="both"/>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4120AD"/>
    <w:rsid w:val="0051574E"/>
    <w:rsid w:val="008803FA"/>
    <w:rsid w:val="008E7942"/>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Sophie Miller</cp:lastModifiedBy>
  <cp:revision>2</cp:revision>
  <dcterms:created xsi:type="dcterms:W3CDTF">2023-10-18T21:58:00Z</dcterms:created>
  <dcterms:modified xsi:type="dcterms:W3CDTF">2023-10-18T21:58:00Z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