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AAE46BA" w:rsidR="006670B1" w:rsidRPr="006670B1" w:rsidRDefault="006670B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Aberrant nasal epithelial responses to </w:t>
            </w:r>
            <w:r w:rsidRPr="006670B1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zh-CN"/>
              </w:rPr>
              <w:t>rhinovirus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in paediatric acute wheeze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F2EB656" w:rsidR="001564A4" w:rsidRPr="00413B94" w:rsidRDefault="005344E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745356">
              <w:rPr>
                <w:rFonts w:ascii="Arial" w:hAnsi="Arial" w:cs="Arial"/>
                <w:bCs/>
                <w:sz w:val="22"/>
                <w:lang w:val="en-US" w:eastAsia="en-GB"/>
              </w:rPr>
              <w:t>Watkinson R L</w:t>
            </w:r>
            <w:r w:rsidRPr="00745356">
              <w:rPr>
                <w:rFonts w:ascii="Arial" w:hAnsi="Arial" w:cs="Arial"/>
                <w:bCs/>
                <w:sz w:val="22"/>
                <w:vertAlign w:val="superscript"/>
                <w:lang w:val="en-US" w:eastAsia="en-GB"/>
              </w:rPr>
              <w:t>1,2</w:t>
            </w:r>
            <w:r w:rsidRPr="00745356">
              <w:rPr>
                <w:rFonts w:ascii="Arial" w:hAnsi="Arial" w:cs="Arial"/>
                <w:bCs/>
                <w:sz w:val="22"/>
                <w:lang w:val="en-US" w:eastAsia="en-GB"/>
              </w:rPr>
              <w:t>, Coleman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 xml:space="preserve"> L A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1,2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Khoo S-K</w:t>
            </w:r>
            <w:r w:rsidR="00223C74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2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,</w:t>
            </w:r>
            <w:r w:rsidR="00AE07EA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3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 xml:space="preserve"> 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Troy N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3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Prastanti F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2</w:t>
            </w:r>
            <w:r w:rsidR="00223C74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,3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Bochkov Y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4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Gern J E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4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Borland M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1,5,6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Le Souef P N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1,2,7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Iosifidis T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1,2</w:t>
            </w:r>
            <w:r w:rsidR="005614E2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,8,9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Looi K</w:t>
            </w:r>
            <w:r w:rsidR="000C7C40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1,2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,8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Kicic A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2,8,9</w:t>
            </w:r>
            <w:r w:rsidR="00F515A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,</w:t>
            </w:r>
            <w:r w:rsidR="00947227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 xml:space="preserve"> </w:t>
            </w:r>
            <w:r w:rsidR="00F515A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#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Laing I A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1</w:t>
            </w:r>
            <w:r w:rsidR="00223C74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-3</w:t>
            </w:r>
            <w:r w:rsidR="00F515A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,#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, on behalf of WAERP</w:t>
            </w:r>
            <w:r w:rsidRPr="00745356">
              <w:rPr>
                <w:rFonts w:ascii="Arial" w:hAnsi="Arial" w:cs="Arial"/>
                <w:sz w:val="22"/>
                <w:vertAlign w:val="superscript"/>
                <w:lang w:val="en-US" w:eastAsia="en-GB"/>
              </w:rPr>
              <w:t>2,10</w:t>
            </w:r>
            <w:r w:rsidRPr="00745356">
              <w:rPr>
                <w:rFonts w:ascii="Arial" w:hAnsi="Arial" w:cs="Arial"/>
                <w:sz w:val="22"/>
                <w:lang w:val="en-US" w:eastAsia="en-GB"/>
              </w:rPr>
              <w:t>.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EF776D9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>1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Division of Paediatrics, School of Medicine, The University of Western Australia</w:t>
            </w:r>
          </w:p>
          <w:p w14:paraId="469711AA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 xml:space="preserve">2 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Wal-Yan Respiratory Research Centre, Telethon Kids Institute</w:t>
            </w:r>
          </w:p>
          <w:p w14:paraId="2C8D6E64" w14:textId="77777777" w:rsidR="005344E0" w:rsidRPr="00762899" w:rsidRDefault="005344E0" w:rsidP="005344E0">
            <w:pPr>
              <w:pStyle w:val="BodyText"/>
              <w:ind w:left="2975" w:hanging="2975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762899">
              <w:rPr>
                <w:rFonts w:ascii="Arial" w:hAnsi="Arial" w:cs="Arial"/>
                <w:b w:val="0"/>
                <w:i/>
                <w:iCs/>
                <w:sz w:val="22"/>
                <w:szCs w:val="22"/>
                <w:vertAlign w:val="superscript"/>
              </w:rPr>
              <w:t>3</w:t>
            </w:r>
            <w:r w:rsidRPr="00762899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Division of Cardiovascular and Respiratory Sciences, School of Biomedical Sciences, </w:t>
            </w:r>
          </w:p>
          <w:p w14:paraId="48D0BEAE" w14:textId="77777777" w:rsidR="005344E0" w:rsidRPr="00762899" w:rsidRDefault="005344E0" w:rsidP="005344E0">
            <w:pPr>
              <w:pStyle w:val="BodyText"/>
              <w:ind w:left="2975" w:hanging="2975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762899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University of Western Australia</w:t>
            </w:r>
          </w:p>
          <w:p w14:paraId="0B2FF693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>4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Department of Paediatrics, School of Medicine and Public Health</w:t>
            </w:r>
            <w:r>
              <w:rPr>
                <w:rFonts w:ascii="Arial" w:hAnsi="Arial" w:cs="Arial"/>
                <w:bCs/>
                <w:i/>
                <w:iCs/>
              </w:rPr>
              <w:t xml:space="preserve">, 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 xml:space="preserve">University of </w:t>
            </w:r>
            <w:r w:rsidRPr="00762899">
              <w:rPr>
                <w:rFonts w:ascii="Arial" w:hAnsi="Arial" w:cs="Arial"/>
                <w:bCs/>
                <w:i/>
                <w:iCs/>
              </w:rPr>
              <w:t>Madison-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Wisconsin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4A132551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>5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Emergency Department, Perth Children’s Hospital</w:t>
            </w:r>
          </w:p>
          <w:p w14:paraId="5B8B6BF1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>6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Division of Emergency Medicine, School of Medicine, The University of Western Australia</w:t>
            </w:r>
          </w:p>
          <w:p w14:paraId="0EB8DC63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>7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Department of Respiratory and Sleep Medicine, Perth Children’s Hospital</w:t>
            </w:r>
          </w:p>
          <w:p w14:paraId="64EB81A7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 xml:space="preserve">8 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School of Population Health, Curtin University</w:t>
            </w:r>
          </w:p>
          <w:p w14:paraId="39D9CCA5" w14:textId="77777777" w:rsidR="005344E0" w:rsidRPr="00762899" w:rsidRDefault="005344E0" w:rsidP="005344E0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 xml:space="preserve">9 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Centre for Cell Therapy and Regenerative Medicine, The University of Western Australia</w:t>
            </w:r>
          </w:p>
          <w:p w14:paraId="119BD04C" w14:textId="77777777" w:rsidR="001564A4" w:rsidRDefault="005344E0" w:rsidP="005344E0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62899"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  <w:t xml:space="preserve">10 </w:t>
            </w:r>
            <w:r w:rsidRPr="00762899">
              <w:rPr>
                <w:rFonts w:ascii="Arial" w:hAnsi="Arial" w:cs="Arial"/>
                <w:bCs/>
                <w:i/>
                <w:iCs/>
                <w:sz w:val="22"/>
              </w:rPr>
              <w:t>St. John of God Hospital, Subiaco, WA, Australia</w:t>
            </w:r>
          </w:p>
          <w:p w14:paraId="45ED36BF" w14:textId="2192B972" w:rsidR="004F4B62" w:rsidRPr="0050053A" w:rsidRDefault="004F4B62" w:rsidP="005344E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26A63">
              <w:rPr>
                <w:i/>
                <w:iCs/>
                <w:vertAlign w:val="superscript"/>
              </w:rPr>
              <w:t>#</w:t>
            </w:r>
            <w:r>
              <w:rPr>
                <w:i/>
                <w:iCs/>
              </w:rPr>
              <w:t>These Authors have joint Senior Authorship and equal contribution.</w:t>
            </w:r>
          </w:p>
        </w:tc>
      </w:tr>
      <w:tr w:rsidR="001564A4" w:rsidRPr="00867AE2" w14:paraId="6DAF615A" w14:textId="77777777" w:rsidTr="006673AB">
        <w:trPr>
          <w:trHeight w:hRule="exact" w:val="12201"/>
          <w:jc w:val="center"/>
        </w:trPr>
        <w:tc>
          <w:tcPr>
            <w:tcW w:w="8640" w:type="dxa"/>
            <w:shd w:val="clear" w:color="auto" w:fill="auto"/>
          </w:tcPr>
          <w:p w14:paraId="3D770CF7" w14:textId="1E3E2935" w:rsidR="001564A4" w:rsidRDefault="001564A4" w:rsidP="000A28E2">
            <w:pPr>
              <w:pStyle w:val="Pa12"/>
              <w:rPr>
                <w:rStyle w:val="A4"/>
              </w:rPr>
            </w:pPr>
            <w:r w:rsidRPr="00867AE2">
              <w:rPr>
                <w:rStyle w:val="A4"/>
                <w:b/>
                <w:bCs/>
              </w:rPr>
              <w:lastRenderedPageBreak/>
              <w:t>Introduction</w:t>
            </w:r>
            <w:r w:rsidR="00F83984">
              <w:rPr>
                <w:rStyle w:val="A4"/>
                <w:b/>
                <w:bCs/>
              </w:rPr>
              <w:t>/Aim</w:t>
            </w:r>
            <w:r w:rsidRPr="00867AE2">
              <w:rPr>
                <w:rStyle w:val="A4"/>
                <w:b/>
                <w:bCs/>
              </w:rPr>
              <w:t xml:space="preserve">: </w:t>
            </w:r>
            <w:r w:rsidR="003161F9" w:rsidRPr="001D6B27">
              <w:rPr>
                <w:i/>
                <w:iCs/>
                <w:sz w:val="22"/>
                <w:szCs w:val="22"/>
              </w:rPr>
              <w:t>R</w:t>
            </w:r>
            <w:r w:rsidR="004D1495" w:rsidRPr="001D6B27">
              <w:rPr>
                <w:i/>
                <w:iCs/>
                <w:sz w:val="22"/>
                <w:szCs w:val="22"/>
              </w:rPr>
              <w:t>hinovirus</w:t>
            </w:r>
            <w:r w:rsidR="001D6B27">
              <w:rPr>
                <w:sz w:val="22"/>
                <w:szCs w:val="22"/>
              </w:rPr>
              <w:t xml:space="preserve"> </w:t>
            </w:r>
            <w:r w:rsidR="003161F9" w:rsidRPr="00B06289">
              <w:rPr>
                <w:sz w:val="22"/>
                <w:szCs w:val="22"/>
              </w:rPr>
              <w:t xml:space="preserve">C (RV-C) followed by </w:t>
            </w:r>
            <w:r w:rsidR="001D6B27">
              <w:rPr>
                <w:sz w:val="22"/>
                <w:szCs w:val="22"/>
              </w:rPr>
              <w:t>RV</w:t>
            </w:r>
            <w:r w:rsidR="0088438A">
              <w:rPr>
                <w:sz w:val="22"/>
                <w:szCs w:val="22"/>
              </w:rPr>
              <w:t>-</w:t>
            </w:r>
            <w:r w:rsidR="003161F9" w:rsidRPr="00B06289">
              <w:rPr>
                <w:sz w:val="22"/>
                <w:szCs w:val="22"/>
              </w:rPr>
              <w:t xml:space="preserve">A are the most common </w:t>
            </w:r>
            <w:r w:rsidR="00C1147B">
              <w:rPr>
                <w:sz w:val="22"/>
                <w:szCs w:val="22"/>
              </w:rPr>
              <w:t>viruses</w:t>
            </w:r>
            <w:r w:rsidR="003161F9" w:rsidRPr="00B06289">
              <w:rPr>
                <w:sz w:val="22"/>
                <w:szCs w:val="22"/>
              </w:rPr>
              <w:t xml:space="preserve"> associated with paediatric hospital presentations </w:t>
            </w:r>
            <w:r w:rsidR="00176213">
              <w:rPr>
                <w:sz w:val="22"/>
                <w:szCs w:val="22"/>
              </w:rPr>
              <w:t>for</w:t>
            </w:r>
            <w:r w:rsidR="00176213" w:rsidRPr="00B06289">
              <w:rPr>
                <w:sz w:val="22"/>
                <w:szCs w:val="22"/>
              </w:rPr>
              <w:t xml:space="preserve"> </w:t>
            </w:r>
            <w:r w:rsidR="003161F9" w:rsidRPr="00B06289">
              <w:rPr>
                <w:sz w:val="22"/>
                <w:szCs w:val="22"/>
              </w:rPr>
              <w:t>acute wheeze/asthma</w:t>
            </w:r>
            <w:r w:rsidR="00C1147B">
              <w:rPr>
                <w:sz w:val="22"/>
                <w:szCs w:val="22"/>
              </w:rPr>
              <w:t xml:space="preserve"> (AWA)</w:t>
            </w:r>
            <w:r w:rsidR="003161F9" w:rsidRPr="00B06289">
              <w:rPr>
                <w:sz w:val="22"/>
                <w:szCs w:val="22"/>
              </w:rPr>
              <w:t xml:space="preserve">. </w:t>
            </w:r>
            <w:r w:rsidR="003D74A5" w:rsidRPr="00B06289">
              <w:rPr>
                <w:sz w:val="22"/>
                <w:szCs w:val="22"/>
              </w:rPr>
              <w:t>RV-C is</w:t>
            </w:r>
            <w:r w:rsidR="003161F9" w:rsidRPr="00B06289">
              <w:rPr>
                <w:sz w:val="22"/>
                <w:szCs w:val="22"/>
              </w:rPr>
              <w:t xml:space="preserve"> associated with </w:t>
            </w:r>
            <w:r w:rsidR="00E80EAA">
              <w:rPr>
                <w:sz w:val="22"/>
                <w:szCs w:val="22"/>
              </w:rPr>
              <w:t>increased</w:t>
            </w:r>
            <w:r w:rsidR="003161F9" w:rsidRPr="00B06289">
              <w:rPr>
                <w:sz w:val="22"/>
                <w:szCs w:val="22"/>
              </w:rPr>
              <w:t xml:space="preserve"> severity</w:t>
            </w:r>
            <w:r w:rsidR="004E5299">
              <w:rPr>
                <w:sz w:val="22"/>
                <w:szCs w:val="22"/>
              </w:rPr>
              <w:t xml:space="preserve"> and</w:t>
            </w:r>
            <w:r w:rsidR="00EA17C0">
              <w:rPr>
                <w:sz w:val="22"/>
                <w:szCs w:val="22"/>
              </w:rPr>
              <w:t xml:space="preserve"> </w:t>
            </w:r>
            <w:r w:rsidR="00947227">
              <w:rPr>
                <w:sz w:val="22"/>
                <w:szCs w:val="22"/>
              </w:rPr>
              <w:t>shorter time to</w:t>
            </w:r>
            <w:r w:rsidR="0059216E">
              <w:rPr>
                <w:sz w:val="22"/>
                <w:szCs w:val="22"/>
              </w:rPr>
              <w:t xml:space="preserve"> </w:t>
            </w:r>
            <w:r w:rsidR="004E5299">
              <w:rPr>
                <w:sz w:val="22"/>
                <w:szCs w:val="22"/>
              </w:rPr>
              <w:t>recurrence</w:t>
            </w:r>
            <w:r w:rsidR="003161F9">
              <w:rPr>
                <w:sz w:val="22"/>
                <w:szCs w:val="22"/>
              </w:rPr>
              <w:t>.</w:t>
            </w:r>
            <w:r w:rsidR="003D74A5">
              <w:rPr>
                <w:sz w:val="22"/>
                <w:szCs w:val="22"/>
              </w:rPr>
              <w:t xml:space="preserve"> We hypothesised that nasal epithelial cells (NECs) from AWA </w:t>
            </w:r>
            <w:r w:rsidR="00E80EAA">
              <w:rPr>
                <w:sz w:val="22"/>
                <w:szCs w:val="22"/>
              </w:rPr>
              <w:t xml:space="preserve">children </w:t>
            </w:r>
            <w:r w:rsidR="003D74A5">
              <w:rPr>
                <w:sz w:val="22"/>
                <w:szCs w:val="22"/>
              </w:rPr>
              <w:t>have impaired</w:t>
            </w:r>
            <w:r w:rsidR="00C1147B">
              <w:rPr>
                <w:sz w:val="22"/>
                <w:szCs w:val="22"/>
              </w:rPr>
              <w:t xml:space="preserve"> </w:t>
            </w:r>
            <w:r w:rsidR="003D74A5">
              <w:rPr>
                <w:sz w:val="22"/>
                <w:szCs w:val="22"/>
              </w:rPr>
              <w:t>responses to R</w:t>
            </w:r>
            <w:r w:rsidR="00E80EAA">
              <w:rPr>
                <w:sz w:val="22"/>
                <w:szCs w:val="22"/>
              </w:rPr>
              <w:t>Vs</w:t>
            </w:r>
            <w:r w:rsidR="003D74A5">
              <w:rPr>
                <w:sz w:val="22"/>
                <w:szCs w:val="22"/>
              </w:rPr>
              <w:t>, and that would be worse in response to RV-C.</w:t>
            </w:r>
          </w:p>
          <w:p w14:paraId="3C9DBCB2" w14:textId="77777777" w:rsidR="002653F2" w:rsidRPr="002653F2" w:rsidRDefault="002653F2" w:rsidP="002653F2">
            <w:pPr>
              <w:pStyle w:val="Default"/>
            </w:pPr>
          </w:p>
          <w:p w14:paraId="70A39F78" w14:textId="60E9EC99" w:rsidR="001564A4" w:rsidRPr="00666788" w:rsidRDefault="001564A4" w:rsidP="000A28E2">
            <w:pPr>
              <w:pStyle w:val="Pa12"/>
              <w:rPr>
                <w:color w:val="000000"/>
                <w:sz w:val="22"/>
                <w:szCs w:val="22"/>
              </w:rPr>
            </w:pPr>
            <w:r w:rsidRPr="00867AE2">
              <w:rPr>
                <w:rStyle w:val="A4"/>
                <w:b/>
                <w:bCs/>
              </w:rPr>
              <w:t>Methods:</w:t>
            </w:r>
            <w:r w:rsidR="0001411B">
              <w:rPr>
                <w:rStyle w:val="A4"/>
                <w:b/>
                <w:bCs/>
              </w:rPr>
              <w:t xml:space="preserve"> </w:t>
            </w:r>
            <w:r w:rsidR="002653F2">
              <w:rPr>
                <w:rStyle w:val="A4"/>
              </w:rPr>
              <w:t xml:space="preserve">NECs from AWA </w:t>
            </w:r>
            <w:r w:rsidR="00A64252">
              <w:rPr>
                <w:rStyle w:val="A4"/>
              </w:rPr>
              <w:t xml:space="preserve">children </w:t>
            </w:r>
            <w:r w:rsidR="002653F2">
              <w:rPr>
                <w:rStyle w:val="A4"/>
              </w:rPr>
              <w:t xml:space="preserve">(n=14; 12 males; mean age 7.7±2.8 (SD) years) and non-wheezing controls (NWC; n=13; 8 males; </w:t>
            </w:r>
            <w:r w:rsidR="0087219D">
              <w:rPr>
                <w:rStyle w:val="A4"/>
              </w:rPr>
              <w:t>7.7±1.12 years) were</w:t>
            </w:r>
            <w:r w:rsidR="008234AC">
              <w:rPr>
                <w:rStyle w:val="A4"/>
              </w:rPr>
              <w:t xml:space="preserve"> </w:t>
            </w:r>
            <w:r w:rsidR="00176213" w:rsidRPr="00671694">
              <w:rPr>
                <w:rStyle w:val="A4"/>
              </w:rPr>
              <w:t xml:space="preserve">fully </w:t>
            </w:r>
            <w:r w:rsidR="0087219D" w:rsidRPr="00ED4F11">
              <w:rPr>
                <w:rStyle w:val="A4"/>
              </w:rPr>
              <w:t>differentiated and inoculated</w:t>
            </w:r>
            <w:r w:rsidR="0087219D">
              <w:rPr>
                <w:rStyle w:val="A4"/>
              </w:rPr>
              <w:t xml:space="preserve"> with</w:t>
            </w:r>
            <w:r w:rsidR="00A64252">
              <w:rPr>
                <w:rStyle w:val="A4"/>
              </w:rPr>
              <w:t xml:space="preserve"> clinically derived </w:t>
            </w:r>
            <w:r w:rsidR="0087219D">
              <w:rPr>
                <w:rStyle w:val="A4"/>
              </w:rPr>
              <w:t>RV-C15 or RV-A16</w:t>
            </w:r>
            <w:r w:rsidR="00176213">
              <w:rPr>
                <w:rStyle w:val="A4"/>
              </w:rPr>
              <w:t>, at a</w:t>
            </w:r>
            <w:r w:rsidR="00A64252">
              <w:rPr>
                <w:rStyle w:val="A4"/>
              </w:rPr>
              <w:t xml:space="preserve"> clinically relevant</w:t>
            </w:r>
            <w:r w:rsidR="00176213">
              <w:rPr>
                <w:rStyle w:val="A4"/>
              </w:rPr>
              <w:t xml:space="preserve"> titre, </w:t>
            </w:r>
            <w:r w:rsidR="0087219D">
              <w:rPr>
                <w:rStyle w:val="A4"/>
              </w:rPr>
              <w:t>1x10</w:t>
            </w:r>
            <w:r w:rsidR="00ED4F11">
              <w:rPr>
                <w:rStyle w:val="A4"/>
                <w:vertAlign w:val="superscript"/>
              </w:rPr>
              <w:t>5</w:t>
            </w:r>
            <w:r w:rsidR="0087219D">
              <w:rPr>
                <w:rStyle w:val="A4"/>
                <w:vertAlign w:val="superscript"/>
              </w:rPr>
              <w:t xml:space="preserve"> </w:t>
            </w:r>
            <w:r w:rsidR="0087219D">
              <w:rPr>
                <w:rStyle w:val="A4"/>
              </w:rPr>
              <w:t>copies</w:t>
            </w:r>
            <w:r w:rsidR="00ED4F11">
              <w:rPr>
                <w:rStyle w:val="A4"/>
              </w:rPr>
              <w:t>/ml (100μl)</w:t>
            </w:r>
            <w:r w:rsidR="0087219D">
              <w:rPr>
                <w:rStyle w:val="A4"/>
              </w:rPr>
              <w:t>. Host</w:t>
            </w:r>
            <w:r w:rsidR="004513C5">
              <w:rPr>
                <w:rStyle w:val="A4"/>
              </w:rPr>
              <w:t>-</w:t>
            </w:r>
            <w:r w:rsidR="0087219D">
              <w:rPr>
                <w:rStyle w:val="A4"/>
              </w:rPr>
              <w:t>responses were assessed over 72hr</w:t>
            </w:r>
            <w:r w:rsidR="008234AC">
              <w:rPr>
                <w:rStyle w:val="A4"/>
              </w:rPr>
              <w:t>:</w:t>
            </w:r>
            <w:r w:rsidR="0087219D">
              <w:rPr>
                <w:rStyle w:val="A4"/>
              </w:rPr>
              <w:t xml:space="preserve"> viral load</w:t>
            </w:r>
            <w:r w:rsidR="00332712">
              <w:rPr>
                <w:rStyle w:val="A4"/>
              </w:rPr>
              <w:t xml:space="preserve"> and receptor gene</w:t>
            </w:r>
            <w:r w:rsidR="009C63F2">
              <w:rPr>
                <w:rStyle w:val="A4"/>
              </w:rPr>
              <w:t>-</w:t>
            </w:r>
            <w:r w:rsidR="00332712">
              <w:rPr>
                <w:rStyle w:val="A4"/>
              </w:rPr>
              <w:t>expression</w:t>
            </w:r>
            <w:r w:rsidR="0087219D">
              <w:rPr>
                <w:rStyle w:val="A4"/>
              </w:rPr>
              <w:t xml:space="preserve"> qPCR</w:t>
            </w:r>
            <w:r w:rsidR="008234AC">
              <w:rPr>
                <w:rStyle w:val="A4"/>
              </w:rPr>
              <w:t>;</w:t>
            </w:r>
            <w:r w:rsidR="0087219D">
              <w:rPr>
                <w:rStyle w:val="A4"/>
              </w:rPr>
              <w:t xml:space="preserve"> barrier integrity permeability assay and qPCR</w:t>
            </w:r>
            <w:r w:rsidR="008234AC">
              <w:rPr>
                <w:rStyle w:val="A4"/>
              </w:rPr>
              <w:t>;</w:t>
            </w:r>
            <w:r w:rsidR="0087219D">
              <w:rPr>
                <w:rStyle w:val="A4"/>
              </w:rPr>
              <w:t xml:space="preserve"> and anti-viral RANTES ELISA. Viral load was presented as Log2</w:t>
            </w:r>
            <w:r w:rsidR="005614E2">
              <w:rPr>
                <w:rStyle w:val="A4"/>
              </w:rPr>
              <w:t>-transformed</w:t>
            </w:r>
            <w:r w:rsidR="0087219D">
              <w:rPr>
                <w:rStyle w:val="A4"/>
              </w:rPr>
              <w:t xml:space="preserve"> copies</w:t>
            </w:r>
            <w:r w:rsidR="006651FA">
              <w:rPr>
                <w:rStyle w:val="A4"/>
              </w:rPr>
              <w:t>/ml</w:t>
            </w:r>
            <w:r w:rsidR="0087219D">
              <w:rPr>
                <w:rStyle w:val="A4"/>
              </w:rPr>
              <w:t>, and other data as Log2</w:t>
            </w:r>
            <w:r w:rsidR="005614E2">
              <w:rPr>
                <w:rStyle w:val="A4"/>
              </w:rPr>
              <w:t>(</w:t>
            </w:r>
            <w:r w:rsidR="0087219D">
              <w:rPr>
                <w:rStyle w:val="A4"/>
              </w:rPr>
              <w:t>fold</w:t>
            </w:r>
            <w:r w:rsidR="008C1987">
              <w:rPr>
                <w:rStyle w:val="A4"/>
              </w:rPr>
              <w:t>-</w:t>
            </w:r>
            <w:r w:rsidR="0087219D">
              <w:rPr>
                <w:rStyle w:val="A4"/>
              </w:rPr>
              <w:t>change</w:t>
            </w:r>
            <w:r w:rsidR="005614E2">
              <w:rPr>
                <w:rStyle w:val="A4"/>
              </w:rPr>
              <w:t>)</w:t>
            </w:r>
            <w:r w:rsidR="0087219D">
              <w:rPr>
                <w:rStyle w:val="A4"/>
              </w:rPr>
              <w:t xml:space="preserve"> to non-infected cultures.</w:t>
            </w:r>
          </w:p>
          <w:p w14:paraId="5029BAE6" w14:textId="77777777" w:rsidR="001564A4" w:rsidRPr="00867AE2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40980FD6" w14:textId="77777777" w:rsidR="00ED4F11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867AE2">
              <w:rPr>
                <w:rStyle w:val="A4"/>
                <w:b/>
                <w:bCs/>
              </w:rPr>
              <w:t xml:space="preserve">Results: </w:t>
            </w:r>
          </w:p>
          <w:p w14:paraId="407BE678" w14:textId="4DF605FA" w:rsidR="00ED4F11" w:rsidRDefault="00ED4F11" w:rsidP="000A28E2">
            <w:pPr>
              <w:pStyle w:val="Pa12"/>
              <w:rPr>
                <w:sz w:val="22"/>
                <w:szCs w:val="22"/>
              </w:rPr>
            </w:pPr>
            <w:r w:rsidRPr="00B56B01">
              <w:rPr>
                <w:rStyle w:val="A4"/>
                <w:u w:val="single"/>
              </w:rPr>
              <w:t>AWA vs NWC:</w:t>
            </w:r>
            <w:r>
              <w:rPr>
                <w:rStyle w:val="A4"/>
                <w:b/>
                <w:bCs/>
              </w:rPr>
              <w:t xml:space="preserve"> </w:t>
            </w:r>
            <w:r w:rsidR="006C5BBC">
              <w:rPr>
                <w:rStyle w:val="A4"/>
              </w:rPr>
              <w:t xml:space="preserve">Viral load </w:t>
            </w:r>
            <w:r w:rsidR="00237126">
              <w:rPr>
                <w:rStyle w:val="A4"/>
              </w:rPr>
              <w:t>peaked at 24hr</w:t>
            </w:r>
            <w:r w:rsidR="00F51B1B">
              <w:rPr>
                <w:rStyle w:val="A4"/>
              </w:rPr>
              <w:t>,</w:t>
            </w:r>
            <w:r w:rsidR="00237126">
              <w:rPr>
                <w:rStyle w:val="A4"/>
              </w:rPr>
              <w:t xml:space="preserve"> </w:t>
            </w:r>
            <w:r w:rsidR="006C5BBC">
              <w:rPr>
                <w:rStyle w:val="A4"/>
              </w:rPr>
              <w:t xml:space="preserve">was </w:t>
            </w:r>
            <w:r w:rsidR="00D26568">
              <w:rPr>
                <w:rStyle w:val="A4"/>
              </w:rPr>
              <w:t>higher in NWC at 72hr</w:t>
            </w:r>
            <w:r w:rsidR="006C5BBC">
              <w:rPr>
                <w:rStyle w:val="A4"/>
              </w:rPr>
              <w:t xml:space="preserve"> </w:t>
            </w:r>
            <w:r w:rsidR="00B13E5F">
              <w:rPr>
                <w:rStyle w:val="A4"/>
              </w:rPr>
              <w:t>with RV-</w:t>
            </w:r>
            <w:r>
              <w:rPr>
                <w:rStyle w:val="A4"/>
              </w:rPr>
              <w:t xml:space="preserve">C </w:t>
            </w:r>
            <w:r w:rsidRPr="00B06289">
              <w:rPr>
                <w:sz w:val="22"/>
                <w:szCs w:val="22"/>
              </w:rPr>
              <w:t>(</w:t>
            </w:r>
            <w:r w:rsidR="00B13E5F" w:rsidRPr="00B06289">
              <w:rPr>
                <w:sz w:val="22"/>
                <w:szCs w:val="22"/>
              </w:rPr>
              <w:t>72hr AWA 11.21±3.16 vs NWC 14.76±2.21 p&lt;0.05)</w:t>
            </w:r>
            <w:r w:rsidR="00B13E5F">
              <w:rPr>
                <w:sz w:val="22"/>
                <w:szCs w:val="22"/>
              </w:rPr>
              <w:t xml:space="preserve"> and </w:t>
            </w:r>
            <w:r w:rsidR="00A25C94">
              <w:rPr>
                <w:sz w:val="22"/>
                <w:szCs w:val="22"/>
              </w:rPr>
              <w:t xml:space="preserve">was </w:t>
            </w:r>
            <w:r w:rsidR="00D26568">
              <w:rPr>
                <w:sz w:val="22"/>
                <w:szCs w:val="22"/>
              </w:rPr>
              <w:t>similar</w:t>
            </w:r>
            <w:r w:rsidR="00B13E5F">
              <w:rPr>
                <w:sz w:val="22"/>
                <w:szCs w:val="22"/>
              </w:rPr>
              <w:t xml:space="preserve"> with RV-A</w:t>
            </w:r>
            <w:r w:rsidR="00B13E5F" w:rsidRPr="00B06289">
              <w:rPr>
                <w:sz w:val="22"/>
                <w:szCs w:val="22"/>
              </w:rPr>
              <w:t>.</w:t>
            </w:r>
            <w:r w:rsidR="00B13E5F">
              <w:rPr>
                <w:sz w:val="22"/>
                <w:szCs w:val="22"/>
              </w:rPr>
              <w:t xml:space="preserve"> </w:t>
            </w:r>
            <w:r w:rsidR="00826FE0">
              <w:rPr>
                <w:sz w:val="22"/>
                <w:szCs w:val="22"/>
              </w:rPr>
              <w:t>R</w:t>
            </w:r>
            <w:r w:rsidR="00B13E5F">
              <w:rPr>
                <w:sz w:val="22"/>
                <w:szCs w:val="22"/>
              </w:rPr>
              <w:t>ecepto</w:t>
            </w:r>
            <w:r w:rsidR="00237126">
              <w:rPr>
                <w:sz w:val="22"/>
                <w:szCs w:val="22"/>
              </w:rPr>
              <w:t>r gene</w:t>
            </w:r>
            <w:r w:rsidR="009C4212">
              <w:rPr>
                <w:sz w:val="22"/>
                <w:szCs w:val="22"/>
              </w:rPr>
              <w:t>-</w:t>
            </w:r>
            <w:r w:rsidR="00237126">
              <w:rPr>
                <w:sz w:val="22"/>
                <w:szCs w:val="22"/>
              </w:rPr>
              <w:t>expression</w:t>
            </w:r>
            <w:r w:rsidR="00D26568">
              <w:rPr>
                <w:sz w:val="22"/>
                <w:szCs w:val="22"/>
              </w:rPr>
              <w:t>,</w:t>
            </w:r>
            <w:r w:rsidR="00237126">
              <w:rPr>
                <w:sz w:val="22"/>
                <w:szCs w:val="22"/>
              </w:rPr>
              <w:t xml:space="preserve"> </w:t>
            </w:r>
            <w:r w:rsidR="007B0E64">
              <w:rPr>
                <w:sz w:val="22"/>
                <w:szCs w:val="22"/>
              </w:rPr>
              <w:t>and</w:t>
            </w:r>
            <w:r w:rsidR="00237126">
              <w:rPr>
                <w:sz w:val="22"/>
                <w:szCs w:val="22"/>
              </w:rPr>
              <w:t xml:space="preserve"> barrier integrity</w:t>
            </w:r>
            <w:r w:rsidR="00D26568">
              <w:rPr>
                <w:sz w:val="22"/>
                <w:szCs w:val="22"/>
              </w:rPr>
              <w:t xml:space="preserve"> were similar. </w:t>
            </w:r>
            <w:r w:rsidR="00427463">
              <w:rPr>
                <w:sz w:val="22"/>
                <w:szCs w:val="22"/>
              </w:rPr>
              <w:t xml:space="preserve">RANTES was dampened in AWA in response to RV-C </w:t>
            </w:r>
            <w:r w:rsidR="00427463" w:rsidRPr="00B06289">
              <w:rPr>
                <w:sz w:val="22"/>
                <w:szCs w:val="22"/>
              </w:rPr>
              <w:t>(48hr AWA 0.83±2.28 vs NWC 3.85±2.31 p&lt;0.01; 72hr AWA 1.15±1.70 vs NWC 2.83±2.28 p&lt;0.05</w:t>
            </w:r>
            <w:r w:rsidRPr="00B062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and</w:t>
            </w:r>
            <w:r w:rsidR="00427463">
              <w:rPr>
                <w:sz w:val="22"/>
                <w:szCs w:val="22"/>
              </w:rPr>
              <w:t xml:space="preserve"> heightened to RV-A </w:t>
            </w:r>
            <w:r w:rsidR="00427463" w:rsidRPr="00B06289">
              <w:rPr>
                <w:sz w:val="22"/>
                <w:szCs w:val="22"/>
              </w:rPr>
              <w:t>(24hr AWA 2.63±2.35 vs NWC 1.13±0.76 p&lt;0.01; 48hr AWA 4.39±2.51 vs NWC 2.91±1.21 p&lt;0.05; 72hr AWA 4.65±2.90 vs NWC 2.71±1.37 p&lt;0.01).</w:t>
            </w:r>
            <w:r w:rsidR="00427463">
              <w:rPr>
                <w:sz w:val="22"/>
                <w:szCs w:val="22"/>
              </w:rPr>
              <w:t xml:space="preserve"> </w:t>
            </w:r>
          </w:p>
          <w:p w14:paraId="6BF3F094" w14:textId="5880003B" w:rsidR="001564A4" w:rsidRPr="006C5BBC" w:rsidRDefault="00ED4F11" w:rsidP="000A28E2">
            <w:pPr>
              <w:pStyle w:val="Pa12"/>
              <w:rPr>
                <w:rStyle w:val="A4"/>
              </w:rPr>
            </w:pPr>
            <w:r w:rsidRPr="00B56B01">
              <w:rPr>
                <w:sz w:val="22"/>
                <w:szCs w:val="22"/>
                <w:u w:val="single"/>
              </w:rPr>
              <w:t>RV-C vs RV-A:</w:t>
            </w:r>
            <w:r>
              <w:rPr>
                <w:sz w:val="22"/>
                <w:szCs w:val="22"/>
              </w:rPr>
              <w:t xml:space="preserve"> </w:t>
            </w:r>
            <w:r w:rsidR="005801B1">
              <w:rPr>
                <w:sz w:val="22"/>
                <w:szCs w:val="22"/>
              </w:rPr>
              <w:t>RANTES release in AWA was d</w:t>
            </w:r>
            <w:r w:rsidR="00D345D9">
              <w:rPr>
                <w:sz w:val="22"/>
                <w:szCs w:val="22"/>
              </w:rPr>
              <w:t>elayed</w:t>
            </w:r>
            <w:r w:rsidR="00C13B1F">
              <w:rPr>
                <w:sz w:val="22"/>
                <w:szCs w:val="22"/>
              </w:rPr>
              <w:t xml:space="preserve"> with</w:t>
            </w:r>
            <w:r w:rsidR="005801B1">
              <w:rPr>
                <w:sz w:val="22"/>
                <w:szCs w:val="22"/>
              </w:rPr>
              <w:t xml:space="preserve"> RV-C </w:t>
            </w:r>
            <w:r w:rsidR="008A0BA9">
              <w:rPr>
                <w:sz w:val="22"/>
                <w:szCs w:val="22"/>
              </w:rPr>
              <w:t xml:space="preserve">infection </w:t>
            </w:r>
            <w:r w:rsidR="005801B1" w:rsidRPr="00B06289">
              <w:rPr>
                <w:sz w:val="22"/>
                <w:szCs w:val="22"/>
              </w:rPr>
              <w:t>(24hr RV-C -1.19±1.04 vs RV-A 2.63±2.35 p&lt;0.001</w:t>
            </w:r>
            <w:r w:rsidR="00AF24B4">
              <w:rPr>
                <w:sz w:val="22"/>
                <w:szCs w:val="22"/>
              </w:rPr>
              <w:t>).</w:t>
            </w:r>
          </w:p>
          <w:p w14:paraId="68537800" w14:textId="5A54432F" w:rsidR="001564A4" w:rsidRPr="00241D2A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068CFF0B" w14:textId="4F0E353B" w:rsidR="00EA6C25" w:rsidRPr="002E3EFC" w:rsidRDefault="001564A4" w:rsidP="000A28E2">
            <w:pPr>
              <w:pStyle w:val="Pa12"/>
              <w:rPr>
                <w:rStyle w:val="A4"/>
              </w:rPr>
            </w:pPr>
            <w:r w:rsidRPr="00867AE2">
              <w:rPr>
                <w:rStyle w:val="A4"/>
                <w:b/>
                <w:bCs/>
              </w:rPr>
              <w:t xml:space="preserve">Conclusion: </w:t>
            </w:r>
            <w:r w:rsidR="00F80785">
              <w:rPr>
                <w:rStyle w:val="A4"/>
              </w:rPr>
              <w:t xml:space="preserve">Children with AWA may have </w:t>
            </w:r>
            <w:r w:rsidR="008234AC">
              <w:rPr>
                <w:rStyle w:val="A4"/>
              </w:rPr>
              <w:t>an anti-viral response that is less efficacious to RV-C and exaggerated to RV-A. This response may be species</w:t>
            </w:r>
            <w:r w:rsidR="00AF1815">
              <w:rPr>
                <w:rStyle w:val="A4"/>
              </w:rPr>
              <w:t>-s</w:t>
            </w:r>
            <w:r w:rsidR="008234AC">
              <w:rPr>
                <w:rStyle w:val="A4"/>
              </w:rPr>
              <w:t>pecific,</w:t>
            </w:r>
            <w:r w:rsidR="00F80785">
              <w:rPr>
                <w:rStyle w:val="A4"/>
              </w:rPr>
              <w:t xml:space="preserve"> </w:t>
            </w:r>
            <w:r w:rsidR="008234AC">
              <w:rPr>
                <w:rStyle w:val="A4"/>
              </w:rPr>
              <w:t>suggesting</w:t>
            </w:r>
            <w:r w:rsidR="00F80785">
              <w:rPr>
                <w:rStyle w:val="A4"/>
              </w:rPr>
              <w:t xml:space="preserve"> why RV-C causes more severe</w:t>
            </w:r>
            <w:r w:rsidR="008234AC">
              <w:rPr>
                <w:rStyle w:val="A4"/>
              </w:rPr>
              <w:t xml:space="preserve"> exacerbations</w:t>
            </w:r>
            <w:r w:rsidR="00F80785">
              <w:rPr>
                <w:rStyle w:val="A4"/>
              </w:rPr>
              <w:t>.</w:t>
            </w:r>
            <w:r w:rsidR="00774104">
              <w:rPr>
                <w:rStyle w:val="A4"/>
              </w:rPr>
              <w:t xml:space="preserve"> </w:t>
            </w:r>
            <w:r w:rsidR="00F80785">
              <w:rPr>
                <w:rStyle w:val="A4"/>
              </w:rPr>
              <w:t>RANTES may play a key role in acute wheezing in childhood.</w:t>
            </w:r>
          </w:p>
          <w:p w14:paraId="11681E44" w14:textId="77777777" w:rsidR="00EA6C25" w:rsidRDefault="00EA6C25" w:rsidP="000A28E2">
            <w:pPr>
              <w:pStyle w:val="Pa12"/>
              <w:rPr>
                <w:rStyle w:val="A4"/>
                <w:b/>
                <w:bCs/>
              </w:rPr>
            </w:pPr>
          </w:p>
          <w:p w14:paraId="69B04572" w14:textId="7C0B9769" w:rsidR="001564A4" w:rsidRPr="00867AE2" w:rsidRDefault="001564A4" w:rsidP="000A28E2">
            <w:pPr>
              <w:pStyle w:val="Pa12"/>
              <w:rPr>
                <w:sz w:val="22"/>
                <w:szCs w:val="22"/>
              </w:rPr>
            </w:pPr>
            <w:r w:rsidRPr="00867AE2">
              <w:rPr>
                <w:sz w:val="22"/>
                <w:szCs w:val="22"/>
              </w:rPr>
              <w:br/>
            </w:r>
            <w:r w:rsidR="00216B27">
              <w:rPr>
                <w:sz w:val="22"/>
                <w:szCs w:val="22"/>
              </w:rPr>
              <w:t xml:space="preserve"> </w:t>
            </w:r>
          </w:p>
          <w:p w14:paraId="196E7BAC" w14:textId="12CCF0C6" w:rsidR="001564A4" w:rsidRPr="00867AE2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437BBE95" w14:textId="22DE3FB9" w:rsidR="00867AE2" w:rsidRPr="00867AE2" w:rsidRDefault="001564A4" w:rsidP="00867A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867AE2">
              <w:rPr>
                <w:rStyle w:val="A4"/>
                <w:b/>
                <w:bCs/>
              </w:rPr>
              <w:t>Grant Support:</w:t>
            </w:r>
          </w:p>
          <w:p w14:paraId="7D4B3996" w14:textId="333E97B9" w:rsidR="00867AE2" w:rsidRPr="00867AE2" w:rsidRDefault="00867AE2" w:rsidP="00867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AE2">
              <w:rPr>
                <w:rFonts w:ascii="Arial" w:hAnsi="Arial" w:cs="Arial"/>
                <w:sz w:val="22"/>
                <w:szCs w:val="22"/>
              </w:rPr>
              <w:t>Research Training Stipend</w:t>
            </w:r>
          </w:p>
          <w:p w14:paraId="49ED1911" w14:textId="4302BDBD" w:rsidR="00867AE2" w:rsidRPr="00867AE2" w:rsidRDefault="00867AE2" w:rsidP="00867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AE2">
              <w:rPr>
                <w:rFonts w:ascii="Arial" w:hAnsi="Arial" w:cs="Arial"/>
                <w:sz w:val="22"/>
                <w:szCs w:val="22"/>
              </w:rPr>
              <w:t>Stan &amp; Jean Perron Research Excellence</w:t>
            </w:r>
            <w:r w:rsidR="001B0237">
              <w:rPr>
                <w:rFonts w:ascii="Arial" w:hAnsi="Arial" w:cs="Arial"/>
                <w:sz w:val="22"/>
                <w:szCs w:val="22"/>
              </w:rPr>
              <w:t xml:space="preserve"> Award</w:t>
            </w:r>
          </w:p>
          <w:p w14:paraId="27E77878" w14:textId="5A47BD73" w:rsidR="00867AE2" w:rsidRPr="00867AE2" w:rsidRDefault="00867AE2" w:rsidP="00867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AE2">
              <w:rPr>
                <w:rFonts w:ascii="Arial" w:hAnsi="Arial" w:cs="Arial"/>
                <w:sz w:val="22"/>
                <w:szCs w:val="22"/>
              </w:rPr>
              <w:t>W</w:t>
            </w:r>
            <w:r w:rsidR="001B0237">
              <w:rPr>
                <w:rFonts w:ascii="Arial" w:hAnsi="Arial" w:cs="Arial"/>
                <w:sz w:val="22"/>
                <w:szCs w:val="22"/>
              </w:rPr>
              <w:t>ACRF</w:t>
            </w:r>
          </w:p>
          <w:p w14:paraId="76055E85" w14:textId="55F9EADC" w:rsidR="00867AE2" w:rsidRPr="00867AE2" w:rsidRDefault="00867AE2" w:rsidP="00867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AE2">
              <w:rPr>
                <w:rFonts w:ascii="Arial" w:hAnsi="Arial" w:cs="Arial"/>
                <w:sz w:val="22"/>
                <w:szCs w:val="22"/>
              </w:rPr>
              <w:t>N</w:t>
            </w:r>
            <w:r w:rsidR="001B0237">
              <w:rPr>
                <w:rFonts w:ascii="Arial" w:hAnsi="Arial" w:cs="Arial"/>
                <w:sz w:val="22"/>
                <w:szCs w:val="22"/>
              </w:rPr>
              <w:t>HMRC</w:t>
            </w:r>
          </w:p>
          <w:p w14:paraId="470806BB" w14:textId="77777777" w:rsidR="00867AE2" w:rsidRPr="00867AE2" w:rsidRDefault="00867AE2" w:rsidP="00867A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8381F0" w14:textId="34C41DF7" w:rsidR="001564A4" w:rsidRPr="005801B1" w:rsidRDefault="00867AE2" w:rsidP="005801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AE2">
              <w:rPr>
                <w:rFonts w:ascii="Arial" w:hAnsi="Arial" w:cs="Arial"/>
                <w:b/>
                <w:bCs/>
                <w:sz w:val="22"/>
                <w:szCs w:val="22"/>
              </w:rPr>
              <w:t>Key</w:t>
            </w:r>
            <w:r w:rsidR="001B0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7AE2">
              <w:rPr>
                <w:rFonts w:ascii="Arial" w:hAnsi="Arial" w:cs="Arial"/>
                <w:b/>
                <w:bCs/>
                <w:sz w:val="22"/>
                <w:szCs w:val="22"/>
              </w:rPr>
              <w:t>Words:</w:t>
            </w:r>
            <w:r w:rsidRPr="00867AE2">
              <w:rPr>
                <w:rFonts w:ascii="Arial" w:hAnsi="Arial" w:cs="Arial"/>
                <w:sz w:val="22"/>
                <w:szCs w:val="22"/>
              </w:rPr>
              <w:t xml:space="preserve"> Asthma, </w:t>
            </w:r>
            <w:r w:rsidR="00DE49C1">
              <w:rPr>
                <w:rFonts w:ascii="Arial" w:hAnsi="Arial" w:cs="Arial"/>
                <w:sz w:val="22"/>
                <w:szCs w:val="22"/>
              </w:rPr>
              <w:t>Childhood</w:t>
            </w:r>
            <w:r w:rsidRPr="00867AE2">
              <w:rPr>
                <w:rFonts w:ascii="Arial" w:hAnsi="Arial" w:cs="Arial"/>
                <w:sz w:val="22"/>
                <w:szCs w:val="22"/>
              </w:rPr>
              <w:t>, Rhinovirus, Acute Wheeze, Epithelium.</w:t>
            </w:r>
            <w:r w:rsidR="001564A4" w:rsidRPr="00867AE2">
              <w:rPr>
                <w:sz w:val="22"/>
                <w:szCs w:val="22"/>
              </w:rPr>
              <w:br/>
            </w:r>
            <w:r w:rsidR="001564A4" w:rsidRPr="00867AE2">
              <w:rPr>
                <w:sz w:val="22"/>
                <w:szCs w:val="22"/>
              </w:rPr>
              <w:br/>
            </w:r>
            <w:r w:rsidR="001564A4" w:rsidRPr="00867AE2">
              <w:rPr>
                <w:sz w:val="22"/>
                <w:szCs w:val="22"/>
              </w:rPr>
              <w:br/>
            </w:r>
          </w:p>
          <w:p w14:paraId="731CD908" w14:textId="77777777" w:rsidR="001564A4" w:rsidRPr="00867AE2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867AE2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867AE2" w:rsidRDefault="001564A4" w:rsidP="000A28E2">
            <w:pPr>
              <w:pStyle w:val="Pa12"/>
              <w:rPr>
                <w:rStyle w:val="A4"/>
                <w:bCs/>
              </w:rPr>
            </w:pP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  <w:r w:rsidRPr="00867AE2">
              <w:rPr>
                <w:rStyle w:val="A4"/>
                <w:bCs/>
              </w:rPr>
              <w:br/>
            </w:r>
          </w:p>
          <w:p w14:paraId="14DC37E4" w14:textId="77777777" w:rsidR="001564A4" w:rsidRPr="00867AE2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867AE2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  <w:r w:rsidRPr="00867AE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867AE2" w:rsidRDefault="00E0700F" w:rsidP="001564A4">
      <w:pPr>
        <w:rPr>
          <w:sz w:val="22"/>
          <w:szCs w:val="22"/>
        </w:rPr>
      </w:pPr>
    </w:p>
    <w:sectPr w:rsidR="00E0700F" w:rsidRPr="0086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411B"/>
    <w:rsid w:val="00055361"/>
    <w:rsid w:val="00092BB4"/>
    <w:rsid w:val="000C7C40"/>
    <w:rsid w:val="000E5822"/>
    <w:rsid w:val="001379E3"/>
    <w:rsid w:val="001443C3"/>
    <w:rsid w:val="001564A4"/>
    <w:rsid w:val="00176213"/>
    <w:rsid w:val="001B0237"/>
    <w:rsid w:val="001D6B27"/>
    <w:rsid w:val="00216B27"/>
    <w:rsid w:val="00223C74"/>
    <w:rsid w:val="00237126"/>
    <w:rsid w:val="00241D2A"/>
    <w:rsid w:val="00250ED7"/>
    <w:rsid w:val="002653F2"/>
    <w:rsid w:val="002D0667"/>
    <w:rsid w:val="002E3EFC"/>
    <w:rsid w:val="002F1095"/>
    <w:rsid w:val="00313833"/>
    <w:rsid w:val="003161F9"/>
    <w:rsid w:val="00332712"/>
    <w:rsid w:val="00364D00"/>
    <w:rsid w:val="003A6795"/>
    <w:rsid w:val="003C7F95"/>
    <w:rsid w:val="003D74A5"/>
    <w:rsid w:val="00427463"/>
    <w:rsid w:val="004513C5"/>
    <w:rsid w:val="0045248E"/>
    <w:rsid w:val="00473F5D"/>
    <w:rsid w:val="004D1495"/>
    <w:rsid w:val="004D160C"/>
    <w:rsid w:val="004E3EE1"/>
    <w:rsid w:val="004E5299"/>
    <w:rsid w:val="004F4B62"/>
    <w:rsid w:val="004F58EC"/>
    <w:rsid w:val="0051574E"/>
    <w:rsid w:val="005344E0"/>
    <w:rsid w:val="005614E2"/>
    <w:rsid w:val="005801B1"/>
    <w:rsid w:val="0059216E"/>
    <w:rsid w:val="005963E2"/>
    <w:rsid w:val="005B394A"/>
    <w:rsid w:val="005D35FE"/>
    <w:rsid w:val="006651FA"/>
    <w:rsid w:val="00666788"/>
    <w:rsid w:val="006670B1"/>
    <w:rsid w:val="006673AB"/>
    <w:rsid w:val="00671694"/>
    <w:rsid w:val="006C5BBC"/>
    <w:rsid w:val="006F70B7"/>
    <w:rsid w:val="00713CF6"/>
    <w:rsid w:val="0072195A"/>
    <w:rsid w:val="007663AD"/>
    <w:rsid w:val="00774104"/>
    <w:rsid w:val="007B0E64"/>
    <w:rsid w:val="007D4770"/>
    <w:rsid w:val="008234AC"/>
    <w:rsid w:val="00826FE0"/>
    <w:rsid w:val="00837FD0"/>
    <w:rsid w:val="00867AE2"/>
    <w:rsid w:val="0087219D"/>
    <w:rsid w:val="00874E8E"/>
    <w:rsid w:val="008771B9"/>
    <w:rsid w:val="008803FA"/>
    <w:rsid w:val="0088438A"/>
    <w:rsid w:val="008A0BA9"/>
    <w:rsid w:val="008C1987"/>
    <w:rsid w:val="0090646A"/>
    <w:rsid w:val="00931F68"/>
    <w:rsid w:val="00934422"/>
    <w:rsid w:val="00943AC6"/>
    <w:rsid w:val="00947227"/>
    <w:rsid w:val="00951C1A"/>
    <w:rsid w:val="009B77F3"/>
    <w:rsid w:val="009C4212"/>
    <w:rsid w:val="009C63F2"/>
    <w:rsid w:val="009D44B6"/>
    <w:rsid w:val="00A25C94"/>
    <w:rsid w:val="00A45ED7"/>
    <w:rsid w:val="00A56B73"/>
    <w:rsid w:val="00A64252"/>
    <w:rsid w:val="00AC500A"/>
    <w:rsid w:val="00AE07EA"/>
    <w:rsid w:val="00AF1815"/>
    <w:rsid w:val="00AF24B4"/>
    <w:rsid w:val="00B123AA"/>
    <w:rsid w:val="00B12E32"/>
    <w:rsid w:val="00B13E5F"/>
    <w:rsid w:val="00B54B64"/>
    <w:rsid w:val="00B56B01"/>
    <w:rsid w:val="00B62F5B"/>
    <w:rsid w:val="00B70BC9"/>
    <w:rsid w:val="00BA0F31"/>
    <w:rsid w:val="00C1147B"/>
    <w:rsid w:val="00C13B1F"/>
    <w:rsid w:val="00C273E7"/>
    <w:rsid w:val="00CA76FE"/>
    <w:rsid w:val="00D26568"/>
    <w:rsid w:val="00D345D9"/>
    <w:rsid w:val="00DA1233"/>
    <w:rsid w:val="00DE49C1"/>
    <w:rsid w:val="00E0700F"/>
    <w:rsid w:val="00E6647C"/>
    <w:rsid w:val="00E80EAA"/>
    <w:rsid w:val="00EA17C0"/>
    <w:rsid w:val="00EA6C25"/>
    <w:rsid w:val="00ED2A5F"/>
    <w:rsid w:val="00ED4F11"/>
    <w:rsid w:val="00F03309"/>
    <w:rsid w:val="00F14809"/>
    <w:rsid w:val="00F515A6"/>
    <w:rsid w:val="00F51B1B"/>
    <w:rsid w:val="00F6385C"/>
    <w:rsid w:val="00F80785"/>
    <w:rsid w:val="00F83984"/>
    <w:rsid w:val="00FA0AA8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34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4E0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4E0"/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344E0"/>
    <w:pPr>
      <w:widowControl w:val="0"/>
      <w:autoSpaceDE w:val="0"/>
      <w:autoSpaceDN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344E0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F5B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F5B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17621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Rebecca Watkinson (21492452)</cp:lastModifiedBy>
  <cp:revision>33</cp:revision>
  <dcterms:created xsi:type="dcterms:W3CDTF">2023-10-19T03:01:00Z</dcterms:created>
  <dcterms:modified xsi:type="dcterms:W3CDTF">2023-10-23T01:55:00Z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