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673D4A" w:rsidRPr="00673D4A" w14:paraId="5A4DE250" w14:textId="77777777">
        <w:tc>
          <w:tcPr>
            <w:tcW w:w="8640" w:type="dxa"/>
          </w:tcPr>
          <w:p w14:paraId="5A4DE24F" w14:textId="752BEB30" w:rsidR="002B7FC8" w:rsidRPr="00673D4A" w:rsidRDefault="00F16B61" w:rsidP="00C724DA">
            <w:pPr>
              <w:jc w:val="both"/>
              <w:rPr>
                <w:rFonts w:ascii="Arial" w:hAnsi="Arial" w:cs="Arial"/>
                <w:sz w:val="22"/>
                <w:szCs w:val="22"/>
              </w:rPr>
            </w:pPr>
            <w:r w:rsidRPr="00673D4A">
              <w:rPr>
                <w:rFonts w:ascii="Arial" w:hAnsi="Arial" w:cs="Arial"/>
                <w:b/>
                <w:sz w:val="22"/>
                <w:szCs w:val="22"/>
              </w:rPr>
              <w:t>Title</w:t>
            </w:r>
            <w:r w:rsidR="003A6236" w:rsidRPr="00673D4A">
              <w:rPr>
                <w:rFonts w:ascii="Arial" w:hAnsi="Arial" w:cs="Arial"/>
                <w:b/>
                <w:sz w:val="22"/>
                <w:szCs w:val="22"/>
              </w:rPr>
              <w:t xml:space="preserve"> of Symposium</w:t>
            </w:r>
            <w:r w:rsidR="00E36AD7" w:rsidRPr="00673D4A">
              <w:rPr>
                <w:rFonts w:ascii="Arial" w:hAnsi="Arial" w:cs="Arial"/>
                <w:b/>
                <w:sz w:val="22"/>
                <w:szCs w:val="22"/>
              </w:rPr>
              <w:t xml:space="preserve"> </w:t>
            </w:r>
            <w:r w:rsidR="00242808" w:rsidRPr="00673D4A">
              <w:rPr>
                <w:rFonts w:ascii="Arial" w:hAnsi="Arial" w:cs="Arial"/>
                <w:sz w:val="22"/>
                <w:szCs w:val="22"/>
              </w:rPr>
              <w:t>(Sentence case)</w:t>
            </w:r>
            <w:r w:rsidR="00D8658C" w:rsidRPr="00673D4A">
              <w:rPr>
                <w:rFonts w:ascii="Arial" w:hAnsi="Arial" w:cs="Arial"/>
                <w:sz w:val="22"/>
                <w:szCs w:val="22"/>
              </w:rPr>
              <w:t xml:space="preserve">: </w:t>
            </w:r>
            <w:r w:rsidR="00D8658C" w:rsidRPr="00673D4A">
              <w:rPr>
                <w:rFonts w:ascii="Arial" w:hAnsi="Arial" w:cs="Arial"/>
                <w:b/>
                <w:sz w:val="22"/>
                <w:szCs w:val="22"/>
              </w:rPr>
              <w:t xml:space="preserve">The Best Investment in Health: </w:t>
            </w:r>
            <w:r w:rsidR="00C724DA" w:rsidRPr="00673D4A">
              <w:rPr>
                <w:rFonts w:ascii="Arial" w:hAnsi="Arial" w:cs="Arial"/>
                <w:b/>
                <w:sz w:val="22"/>
                <w:szCs w:val="22"/>
              </w:rPr>
              <w:t>What have HPFs learned after decades?</w:t>
            </w:r>
            <w:r w:rsidR="00D8658C" w:rsidRPr="00673D4A">
              <w:rPr>
                <w:rFonts w:ascii="Arial" w:hAnsi="Arial" w:cs="Arial"/>
                <w:sz w:val="22"/>
                <w:szCs w:val="22"/>
              </w:rPr>
              <w:t xml:space="preserve"> </w:t>
            </w:r>
          </w:p>
        </w:tc>
      </w:tr>
      <w:tr w:rsidR="002B7FC8" w:rsidRPr="00673D4A" w14:paraId="5A4DE264" w14:textId="77777777" w:rsidTr="00D71EFE">
        <w:trPr>
          <w:trHeight w:val="7663"/>
        </w:trPr>
        <w:tc>
          <w:tcPr>
            <w:tcW w:w="8640" w:type="dxa"/>
          </w:tcPr>
          <w:p w14:paraId="060CE2AA" w14:textId="144ACAA9" w:rsidR="00AD3934" w:rsidRPr="00673D4A" w:rsidRDefault="00E14713" w:rsidP="00AD3934">
            <w:pPr>
              <w:rPr>
                <w:rFonts w:ascii="Arial" w:hAnsi="Arial" w:cs="Arial"/>
                <w:sz w:val="22"/>
                <w:szCs w:val="22"/>
              </w:rPr>
            </w:pPr>
            <w:r w:rsidRPr="00673D4A">
              <w:rPr>
                <w:rFonts w:ascii="Arial" w:hAnsi="Arial" w:cs="Arial"/>
                <w:sz w:val="22"/>
                <w:szCs w:val="22"/>
              </w:rPr>
              <w:t xml:space="preserve">Many important conferences including the </w:t>
            </w:r>
            <w:r w:rsidR="007C765F" w:rsidRPr="00673D4A">
              <w:rPr>
                <w:rFonts w:ascii="Arial" w:hAnsi="Arial" w:cs="Arial"/>
                <w:sz w:val="22"/>
                <w:szCs w:val="22"/>
              </w:rPr>
              <w:t xml:space="preserve">United Nations member states </w:t>
            </w:r>
            <w:r w:rsidRPr="00673D4A">
              <w:rPr>
                <w:rFonts w:ascii="Arial" w:hAnsi="Arial" w:cs="Arial"/>
                <w:sz w:val="22"/>
                <w:szCs w:val="22"/>
              </w:rPr>
              <w:t>talked about health financing in the pas</w:t>
            </w:r>
            <w:r w:rsidR="001D1825" w:rsidRPr="00673D4A">
              <w:rPr>
                <w:rFonts w:ascii="Arial" w:hAnsi="Arial" w:cs="Arial"/>
                <w:sz w:val="22"/>
                <w:szCs w:val="22"/>
              </w:rPr>
              <w:t>t decade</w:t>
            </w:r>
            <w:r w:rsidRPr="00673D4A">
              <w:rPr>
                <w:rFonts w:ascii="Arial" w:hAnsi="Arial" w:cs="Arial"/>
                <w:sz w:val="22"/>
                <w:szCs w:val="22"/>
              </w:rPr>
              <w:t xml:space="preserve"> with recommendations including the </w:t>
            </w:r>
            <w:proofErr w:type="spellStart"/>
            <w:r w:rsidRPr="00673D4A">
              <w:rPr>
                <w:rFonts w:ascii="Arial" w:hAnsi="Arial" w:cs="Arial"/>
                <w:sz w:val="22"/>
                <w:szCs w:val="22"/>
              </w:rPr>
              <w:t>Adidis</w:t>
            </w:r>
            <w:proofErr w:type="spellEnd"/>
            <w:r w:rsidRPr="00673D4A">
              <w:rPr>
                <w:rFonts w:ascii="Arial" w:hAnsi="Arial" w:cs="Arial"/>
                <w:sz w:val="22"/>
                <w:szCs w:val="22"/>
              </w:rPr>
              <w:t xml:space="preserve"> Ababa conference, the 2013 IUHPE Conference on Best Investment in Health. It is the time now to recall what has been done in the past decades and to evaluate what are the good lessons learned despite several recommendations in Health Promotion. The International Network of Health Promotion Foundation where the health promotion foundations, boards, administrations and institutes from nations of rich and poor united, has a rich experience of innovative</w:t>
            </w:r>
            <w:r w:rsidR="001D1825" w:rsidRPr="00673D4A">
              <w:rPr>
                <w:rFonts w:ascii="Arial" w:hAnsi="Arial" w:cs="Arial"/>
                <w:sz w:val="22"/>
                <w:szCs w:val="22"/>
              </w:rPr>
              <w:t>, sustainable and equitable</w:t>
            </w:r>
            <w:r w:rsidRPr="00673D4A">
              <w:rPr>
                <w:rFonts w:ascii="Arial" w:hAnsi="Arial" w:cs="Arial"/>
                <w:sz w:val="22"/>
                <w:szCs w:val="22"/>
              </w:rPr>
              <w:t xml:space="preserve"> financing on health promotion, where to start, how to start, what to do and how to sustain. The momentum towards health promotion has been better than before but with competitive resources. Without sustainable resources or financing, it makes the job of the health promoter so difficult to achieve what they want considering the nature of health promotion. Multi-sectoral collaboration and private-public-partnership requires a lot of professionals to bring on board. How Victorian Health Promotion Foundation successfully stood up all those after more than 30 years? How other high or middle income countries</w:t>
            </w:r>
            <w:r w:rsidR="00525D5B" w:rsidRPr="00673D4A">
              <w:rPr>
                <w:rFonts w:ascii="Arial" w:hAnsi="Arial" w:cs="Arial"/>
                <w:sz w:val="22"/>
                <w:szCs w:val="22"/>
              </w:rPr>
              <w:t>, even the low-</w:t>
            </w:r>
            <w:r w:rsidRPr="00673D4A">
              <w:rPr>
                <w:rFonts w:ascii="Arial" w:hAnsi="Arial" w:cs="Arial"/>
                <w:sz w:val="22"/>
                <w:szCs w:val="22"/>
              </w:rPr>
              <w:t>income countries went through this road? All those different answers will be provided in this symposium with world top leaders in health promotion. In conclusion, it is not possible to achieve</w:t>
            </w:r>
            <w:r w:rsidR="007C765F" w:rsidRPr="00673D4A">
              <w:rPr>
                <w:rFonts w:ascii="Arial" w:hAnsi="Arial" w:cs="Arial"/>
                <w:sz w:val="22"/>
                <w:szCs w:val="22"/>
              </w:rPr>
              <w:t xml:space="preserve"> the Sustai</w:t>
            </w:r>
            <w:r w:rsidR="00AD3934" w:rsidRPr="00673D4A">
              <w:rPr>
                <w:rFonts w:ascii="Arial" w:hAnsi="Arial" w:cs="Arial"/>
                <w:sz w:val="22"/>
                <w:szCs w:val="22"/>
              </w:rPr>
              <w:t>nable Development Goals by 2030 without innovative health financing.</w:t>
            </w:r>
          </w:p>
          <w:p w14:paraId="1FFBC3C5" w14:textId="376044C3" w:rsidR="00D8658C" w:rsidRPr="00673D4A" w:rsidRDefault="00AD3934" w:rsidP="00AD3934">
            <w:pPr>
              <w:rPr>
                <w:rFonts w:ascii="Arial" w:hAnsi="Arial" w:cs="Arial"/>
                <w:b/>
                <w:sz w:val="22"/>
                <w:szCs w:val="22"/>
              </w:rPr>
            </w:pPr>
            <w:r w:rsidRPr="00673D4A">
              <w:rPr>
                <w:rFonts w:ascii="Arial" w:hAnsi="Arial" w:cs="Arial"/>
                <w:b/>
                <w:sz w:val="22"/>
                <w:szCs w:val="22"/>
              </w:rPr>
              <w:t xml:space="preserve"> </w:t>
            </w:r>
          </w:p>
          <w:p w14:paraId="5A4DE253" w14:textId="0AF75CCE" w:rsidR="00DA7A71" w:rsidRPr="00673D4A" w:rsidRDefault="003A6236" w:rsidP="00E36AD7">
            <w:pPr>
              <w:jc w:val="both"/>
              <w:rPr>
                <w:rFonts w:ascii="Arial" w:hAnsi="Arial" w:cs="Arial"/>
                <w:b/>
                <w:sz w:val="22"/>
                <w:szCs w:val="22"/>
              </w:rPr>
            </w:pPr>
            <w:r w:rsidRPr="00673D4A">
              <w:rPr>
                <w:rFonts w:ascii="Arial" w:hAnsi="Arial" w:cs="Arial"/>
                <w:b/>
                <w:sz w:val="22"/>
                <w:szCs w:val="22"/>
              </w:rPr>
              <w:t>General Objective</w:t>
            </w:r>
          </w:p>
          <w:p w14:paraId="435F6501" w14:textId="2BB4178E" w:rsidR="009862F1" w:rsidRPr="00673D4A" w:rsidRDefault="009862F1" w:rsidP="003D42B6">
            <w:pPr>
              <w:pStyle w:val="ListParagraph"/>
              <w:numPr>
                <w:ilvl w:val="0"/>
                <w:numId w:val="1"/>
              </w:numPr>
              <w:jc w:val="both"/>
              <w:rPr>
                <w:rFonts w:ascii="Arial" w:hAnsi="Arial" w:cs="Arial"/>
                <w:sz w:val="22"/>
                <w:szCs w:val="22"/>
              </w:rPr>
            </w:pPr>
            <w:r w:rsidRPr="00673D4A">
              <w:rPr>
                <w:rFonts w:ascii="Arial" w:hAnsi="Arial" w:cs="Arial"/>
                <w:sz w:val="22"/>
                <w:szCs w:val="22"/>
              </w:rPr>
              <w:t>To review what has been done for innovative, sustainable and equitable financing for health promotion</w:t>
            </w:r>
          </w:p>
          <w:p w14:paraId="36F86CFE" w14:textId="686A6F46" w:rsidR="009862F1" w:rsidRPr="00673D4A" w:rsidRDefault="009862F1" w:rsidP="003D42B6">
            <w:pPr>
              <w:pStyle w:val="ListParagraph"/>
              <w:numPr>
                <w:ilvl w:val="0"/>
                <w:numId w:val="1"/>
              </w:numPr>
              <w:jc w:val="both"/>
              <w:rPr>
                <w:rFonts w:ascii="Arial" w:hAnsi="Arial" w:cs="Arial"/>
                <w:sz w:val="22"/>
                <w:szCs w:val="22"/>
              </w:rPr>
            </w:pPr>
            <w:r w:rsidRPr="00673D4A">
              <w:rPr>
                <w:rFonts w:ascii="Arial" w:hAnsi="Arial" w:cs="Arial"/>
                <w:sz w:val="22"/>
                <w:szCs w:val="22"/>
              </w:rPr>
              <w:t>To share the lessons learned from Health Promotion Foundations around the world</w:t>
            </w:r>
          </w:p>
          <w:p w14:paraId="5A4DE255" w14:textId="7C903573" w:rsidR="00DA7A71" w:rsidRPr="00673D4A" w:rsidRDefault="009862F1" w:rsidP="003D42B6">
            <w:pPr>
              <w:pStyle w:val="ListParagraph"/>
              <w:numPr>
                <w:ilvl w:val="0"/>
                <w:numId w:val="1"/>
              </w:numPr>
              <w:jc w:val="both"/>
              <w:rPr>
                <w:rFonts w:ascii="Arial" w:hAnsi="Arial" w:cs="Arial"/>
                <w:sz w:val="22"/>
                <w:szCs w:val="22"/>
              </w:rPr>
            </w:pPr>
            <w:r w:rsidRPr="00673D4A">
              <w:rPr>
                <w:rFonts w:ascii="Arial" w:hAnsi="Arial" w:cs="Arial"/>
                <w:sz w:val="22"/>
                <w:szCs w:val="22"/>
              </w:rPr>
              <w:t xml:space="preserve">To generate discussion on how to generate sustainable financing for health promotion </w:t>
            </w:r>
          </w:p>
          <w:p w14:paraId="5A4DE256" w14:textId="77777777" w:rsidR="00DA7A71" w:rsidRPr="00673D4A" w:rsidRDefault="00DA7A71" w:rsidP="00E36AD7">
            <w:pPr>
              <w:jc w:val="both"/>
              <w:rPr>
                <w:rFonts w:ascii="Arial" w:hAnsi="Arial" w:cs="Arial"/>
                <w:sz w:val="22"/>
                <w:szCs w:val="22"/>
              </w:rPr>
            </w:pPr>
          </w:p>
          <w:p w14:paraId="5A4DE257" w14:textId="77777777" w:rsidR="00DA7A71" w:rsidRPr="00673D4A" w:rsidRDefault="00DA7A71" w:rsidP="00E36AD7">
            <w:pPr>
              <w:jc w:val="both"/>
              <w:rPr>
                <w:rFonts w:ascii="Arial" w:hAnsi="Arial" w:cs="Arial"/>
                <w:sz w:val="22"/>
                <w:szCs w:val="22"/>
              </w:rPr>
            </w:pPr>
          </w:p>
          <w:p w14:paraId="5A4DE258" w14:textId="77670AEE" w:rsidR="00DA7A71" w:rsidRPr="00673D4A" w:rsidRDefault="003A6236" w:rsidP="00E36AD7">
            <w:pPr>
              <w:jc w:val="both"/>
              <w:rPr>
                <w:rFonts w:ascii="Arial" w:hAnsi="Arial" w:cs="Arial"/>
                <w:b/>
                <w:sz w:val="22"/>
                <w:szCs w:val="22"/>
              </w:rPr>
            </w:pPr>
            <w:r w:rsidRPr="00673D4A">
              <w:rPr>
                <w:rFonts w:ascii="Arial" w:hAnsi="Arial" w:cs="Arial"/>
                <w:b/>
                <w:sz w:val="22"/>
                <w:szCs w:val="22"/>
              </w:rPr>
              <w:t>Proposed format of the session</w:t>
            </w:r>
          </w:p>
          <w:p w14:paraId="5A4DE25A" w14:textId="6BC95ED1" w:rsidR="00DA7A71" w:rsidRPr="00673D4A" w:rsidRDefault="00002B6B" w:rsidP="00E36AD7">
            <w:pPr>
              <w:jc w:val="both"/>
              <w:rPr>
                <w:rFonts w:ascii="Arial" w:hAnsi="Arial" w:cs="Arial"/>
                <w:bCs/>
                <w:sz w:val="22"/>
                <w:szCs w:val="22"/>
              </w:rPr>
            </w:pPr>
            <w:r w:rsidRPr="00673D4A">
              <w:rPr>
                <w:rFonts w:ascii="Arial" w:hAnsi="Arial" w:cs="Arial"/>
                <w:bCs/>
                <w:sz w:val="22"/>
                <w:szCs w:val="22"/>
              </w:rPr>
              <w:t>Roundtable discussion</w:t>
            </w:r>
          </w:p>
          <w:p w14:paraId="5A4DE25B" w14:textId="77777777" w:rsidR="00DA7A71" w:rsidRPr="00673D4A" w:rsidRDefault="00DA7A71" w:rsidP="00E36AD7">
            <w:pPr>
              <w:jc w:val="both"/>
              <w:rPr>
                <w:rFonts w:ascii="Arial" w:hAnsi="Arial" w:cs="Arial"/>
                <w:b/>
                <w:sz w:val="22"/>
                <w:szCs w:val="22"/>
              </w:rPr>
            </w:pPr>
          </w:p>
          <w:p w14:paraId="5A4DE25C" w14:textId="77777777" w:rsidR="00DA7A71" w:rsidRPr="00673D4A" w:rsidRDefault="00DA7A71" w:rsidP="00E36AD7">
            <w:pPr>
              <w:jc w:val="both"/>
              <w:rPr>
                <w:rFonts w:ascii="Arial" w:hAnsi="Arial" w:cs="Arial"/>
                <w:b/>
                <w:sz w:val="22"/>
                <w:szCs w:val="22"/>
              </w:rPr>
            </w:pPr>
          </w:p>
          <w:p w14:paraId="5A4DE25D" w14:textId="2A5172D1" w:rsidR="00DA7A71" w:rsidRPr="00673D4A" w:rsidRDefault="003A6236" w:rsidP="00E36AD7">
            <w:pPr>
              <w:jc w:val="both"/>
              <w:rPr>
                <w:rFonts w:ascii="Arial" w:hAnsi="Arial" w:cs="Arial"/>
                <w:b/>
                <w:sz w:val="22"/>
                <w:szCs w:val="22"/>
              </w:rPr>
            </w:pPr>
            <w:r w:rsidRPr="00673D4A">
              <w:rPr>
                <w:rFonts w:ascii="Arial" w:hAnsi="Arial" w:cs="Arial"/>
                <w:b/>
                <w:sz w:val="22"/>
                <w:szCs w:val="22"/>
              </w:rPr>
              <w:t>Conference theme and/or subthemes addressed</w:t>
            </w:r>
          </w:p>
          <w:p w14:paraId="454A34F6" w14:textId="77777777" w:rsidR="00CB5FCB" w:rsidRPr="00673D4A" w:rsidRDefault="00CB5FCB" w:rsidP="00CB5FCB">
            <w:pPr>
              <w:spacing w:before="150" w:after="150"/>
              <w:outlineLvl w:val="3"/>
              <w:rPr>
                <w:rFonts w:ascii="Arial" w:hAnsi="Arial"/>
                <w:sz w:val="22"/>
                <w:szCs w:val="22"/>
              </w:rPr>
            </w:pPr>
            <w:r w:rsidRPr="00673D4A">
              <w:rPr>
                <w:rFonts w:ascii="Arial" w:hAnsi="Arial"/>
                <w:sz w:val="22"/>
                <w:szCs w:val="22"/>
              </w:rPr>
              <w:t>Health Equity: </w:t>
            </w:r>
          </w:p>
          <w:p w14:paraId="0DE536BF" w14:textId="1EF6E91A" w:rsidR="003D42B6" w:rsidRPr="00673D4A" w:rsidRDefault="00CB5FCB" w:rsidP="00CB5FCB">
            <w:pPr>
              <w:rPr>
                <w:rFonts w:ascii="Arial" w:hAnsi="Arial"/>
                <w:sz w:val="22"/>
                <w:szCs w:val="22"/>
              </w:rPr>
            </w:pPr>
            <w:r w:rsidRPr="00673D4A">
              <w:rPr>
                <w:rFonts w:ascii="Arial" w:hAnsi="Arial"/>
                <w:sz w:val="22"/>
                <w:szCs w:val="22"/>
                <w:shd w:val="clear" w:color="auto" w:fill="FFFFFF"/>
              </w:rPr>
              <w:t>Ensure health equity throughout the life course, within and among countries, making each member of the global society an empowered lifelong learner </w:t>
            </w:r>
          </w:p>
          <w:p w14:paraId="5A4DE260" w14:textId="77777777" w:rsidR="00DA7A71" w:rsidRPr="00673D4A" w:rsidRDefault="00DA7A71" w:rsidP="00E36AD7">
            <w:pPr>
              <w:jc w:val="both"/>
              <w:rPr>
                <w:rFonts w:ascii="Arial" w:hAnsi="Arial" w:cs="Arial"/>
                <w:b/>
                <w:sz w:val="22"/>
                <w:szCs w:val="22"/>
              </w:rPr>
            </w:pPr>
          </w:p>
          <w:p w14:paraId="5C8551F4" w14:textId="77777777" w:rsidR="009D5CDF" w:rsidRPr="00673D4A" w:rsidRDefault="009D5CDF" w:rsidP="009D5CDF">
            <w:pPr>
              <w:spacing w:before="150" w:after="150"/>
              <w:outlineLvl w:val="3"/>
              <w:rPr>
                <w:rFonts w:ascii="Arial" w:hAnsi="Arial"/>
                <w:sz w:val="22"/>
                <w:szCs w:val="22"/>
              </w:rPr>
            </w:pPr>
            <w:r w:rsidRPr="00673D4A">
              <w:rPr>
                <w:rFonts w:ascii="Arial" w:hAnsi="Arial"/>
                <w:sz w:val="22"/>
                <w:szCs w:val="22"/>
              </w:rPr>
              <w:t>Build effective, accountable and inclusive governance:</w:t>
            </w:r>
          </w:p>
          <w:p w14:paraId="01A5E678" w14:textId="77777777" w:rsidR="009D5CDF" w:rsidRPr="00673D4A" w:rsidRDefault="009D5CDF" w:rsidP="009D5CDF">
            <w:pPr>
              <w:rPr>
                <w:rFonts w:ascii="Arial" w:hAnsi="Arial"/>
                <w:sz w:val="22"/>
                <w:szCs w:val="22"/>
              </w:rPr>
            </w:pPr>
            <w:r w:rsidRPr="00673D4A">
              <w:rPr>
                <w:rFonts w:ascii="Arial" w:hAnsi="Arial"/>
                <w:sz w:val="22"/>
                <w:szCs w:val="22"/>
                <w:shd w:val="clear" w:color="auto" w:fill="FFFFFF"/>
              </w:rPr>
              <w:t>Build effective, accountable and inclusive governance at all levels that promotes, peace, justice and respect of human rights</w:t>
            </w:r>
          </w:p>
          <w:p w14:paraId="5A4DE261" w14:textId="77777777" w:rsidR="00DA7A71" w:rsidRPr="00673D4A" w:rsidRDefault="00DA7A71" w:rsidP="00E36AD7">
            <w:pPr>
              <w:jc w:val="both"/>
              <w:rPr>
                <w:rFonts w:ascii="Arial" w:hAnsi="Arial" w:cs="Arial"/>
                <w:b/>
                <w:sz w:val="22"/>
                <w:szCs w:val="22"/>
              </w:rPr>
            </w:pPr>
          </w:p>
          <w:p w14:paraId="5A4DE262" w14:textId="76239C87" w:rsidR="00DA7A71" w:rsidRPr="00673D4A" w:rsidRDefault="00DA7A71" w:rsidP="00E36AD7">
            <w:pPr>
              <w:jc w:val="both"/>
              <w:rPr>
                <w:rFonts w:ascii="Arial" w:hAnsi="Arial" w:cs="Arial"/>
                <w:b/>
                <w:sz w:val="22"/>
                <w:szCs w:val="22"/>
              </w:rPr>
            </w:pPr>
          </w:p>
          <w:p w14:paraId="5A4DE263" w14:textId="3A181901" w:rsidR="00DA7A71" w:rsidRPr="00673D4A" w:rsidRDefault="00DA7A71" w:rsidP="00E36AD7">
            <w:pPr>
              <w:jc w:val="both"/>
              <w:rPr>
                <w:rFonts w:ascii="Arial" w:hAnsi="Arial" w:cs="Arial"/>
                <w:bCs/>
                <w:sz w:val="22"/>
                <w:szCs w:val="22"/>
              </w:rPr>
            </w:pPr>
          </w:p>
        </w:tc>
      </w:tr>
    </w:tbl>
    <w:p w14:paraId="5A4DE265" w14:textId="4C2C1C75" w:rsidR="00490208" w:rsidRPr="00673D4A" w:rsidRDefault="00490208" w:rsidP="004C45A1">
      <w:pPr>
        <w:rPr>
          <w:rFonts w:ascii="Arial" w:hAnsi="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673D4A" w:rsidRPr="00673D4A" w14:paraId="1CFFCB27" w14:textId="77777777" w:rsidTr="00CE3AC9">
        <w:tc>
          <w:tcPr>
            <w:tcW w:w="8640" w:type="dxa"/>
          </w:tcPr>
          <w:p w14:paraId="4DC86CB9" w14:textId="2A504FC4" w:rsidR="00CF4157" w:rsidRPr="00673D4A" w:rsidRDefault="00CF4157" w:rsidP="00CE3AC9">
            <w:pPr>
              <w:jc w:val="both"/>
              <w:rPr>
                <w:rFonts w:ascii="Arial" w:hAnsi="Arial" w:cs="Arial"/>
                <w:sz w:val="22"/>
                <w:szCs w:val="22"/>
              </w:rPr>
            </w:pPr>
            <w:r w:rsidRPr="00673D4A">
              <w:rPr>
                <w:rFonts w:ascii="Arial" w:hAnsi="Arial" w:cs="Arial"/>
                <w:b/>
                <w:sz w:val="22"/>
                <w:szCs w:val="22"/>
              </w:rPr>
              <w:lastRenderedPageBreak/>
              <w:t xml:space="preserve">Title of Presentation 1 </w:t>
            </w:r>
            <w:r w:rsidRPr="00673D4A">
              <w:rPr>
                <w:rFonts w:ascii="Arial" w:hAnsi="Arial" w:cs="Arial"/>
                <w:sz w:val="22"/>
                <w:szCs w:val="22"/>
              </w:rPr>
              <w:t>(Sentence case)</w:t>
            </w:r>
            <w:r w:rsidR="00D6456C" w:rsidRPr="00673D4A">
              <w:rPr>
                <w:rFonts w:ascii="Arial" w:hAnsi="Arial" w:cs="Arial"/>
                <w:sz w:val="22"/>
                <w:szCs w:val="22"/>
              </w:rPr>
              <w:t xml:space="preserve">: Review of the financing mechanisms and investment for health promotion around the world </w:t>
            </w:r>
          </w:p>
        </w:tc>
      </w:tr>
      <w:tr w:rsidR="00CF4157" w:rsidRPr="00673D4A" w14:paraId="6F34CE52" w14:textId="77777777" w:rsidTr="00CE3AC9">
        <w:trPr>
          <w:trHeight w:val="7663"/>
        </w:trPr>
        <w:tc>
          <w:tcPr>
            <w:tcW w:w="8640" w:type="dxa"/>
          </w:tcPr>
          <w:p w14:paraId="463076FB" w14:textId="5FB7C15D" w:rsidR="00CF4157" w:rsidRPr="00673D4A" w:rsidRDefault="00065EFD" w:rsidP="00CE3AC9">
            <w:pPr>
              <w:jc w:val="both"/>
              <w:rPr>
                <w:rFonts w:ascii="Arial" w:hAnsi="Arial" w:cs="Arial"/>
                <w:sz w:val="22"/>
                <w:szCs w:val="22"/>
                <w:lang w:val="en-GB" w:bidi="ar-SA"/>
              </w:rPr>
            </w:pPr>
            <w:bookmarkStart w:id="0" w:name="_GoBack"/>
            <w:bookmarkEnd w:id="0"/>
            <w:r w:rsidRPr="00673D4A">
              <w:rPr>
                <w:rFonts w:ascii="Arial" w:hAnsi="Arial" w:cs="Arial"/>
                <w:sz w:val="22"/>
                <w:szCs w:val="22"/>
                <w:lang w:val="en-GB" w:bidi="ar-SA"/>
              </w:rPr>
              <w:t>In 2015, United Nation member states committed in achieving the Sustainable Development Goals (SDGs) by 2030. One of the means to achieve the SDG goals is to effectively implement the WHO Framework Convention on Tobacco Control to provide sustainable financing. In this presentation, the presenter will discuss on how to achieve sustainable financing, what are the existing governance mechanism and what are the existing great experiences. This presentation will also introduce the international network called The International Network of Health Promotion Foundations</w:t>
            </w:r>
            <w:r w:rsidR="00E37453" w:rsidRPr="00673D4A">
              <w:rPr>
                <w:rFonts w:ascii="Arial" w:hAnsi="Arial" w:cs="Arial"/>
                <w:sz w:val="22"/>
                <w:szCs w:val="22"/>
                <w:lang w:val="en-GB" w:bidi="ar-SA"/>
              </w:rPr>
              <w:t xml:space="preserve"> with members from the Asia and the Pacific region, many of which are the pioneer foundations.</w:t>
            </w:r>
          </w:p>
          <w:p w14:paraId="60476C0E" w14:textId="77777777" w:rsidR="00065EFD" w:rsidRPr="00673D4A" w:rsidRDefault="00065EFD" w:rsidP="00CE3AC9">
            <w:pPr>
              <w:jc w:val="both"/>
              <w:rPr>
                <w:rFonts w:ascii="Arial" w:hAnsi="Arial" w:cs="Arial"/>
                <w:b/>
                <w:sz w:val="22"/>
                <w:szCs w:val="22"/>
              </w:rPr>
            </w:pPr>
          </w:p>
          <w:p w14:paraId="4C515C4A" w14:textId="77777777" w:rsidR="00CF4157" w:rsidRPr="00673D4A" w:rsidRDefault="00CF4157" w:rsidP="00CE3AC9">
            <w:pPr>
              <w:jc w:val="both"/>
              <w:rPr>
                <w:rFonts w:ascii="Arial" w:hAnsi="Arial" w:cs="Arial"/>
                <w:b/>
                <w:sz w:val="22"/>
                <w:szCs w:val="22"/>
              </w:rPr>
            </w:pPr>
            <w:r w:rsidRPr="00673D4A">
              <w:rPr>
                <w:rFonts w:ascii="Arial" w:hAnsi="Arial" w:cs="Arial"/>
                <w:b/>
                <w:sz w:val="22"/>
                <w:szCs w:val="22"/>
              </w:rPr>
              <w:t>General Objective</w:t>
            </w:r>
          </w:p>
          <w:p w14:paraId="2AEC7F08" w14:textId="0159C9C9" w:rsidR="0051126F" w:rsidRPr="00673D4A" w:rsidRDefault="0051126F" w:rsidP="00065EFD">
            <w:pPr>
              <w:pStyle w:val="ListParagraph"/>
              <w:numPr>
                <w:ilvl w:val="0"/>
                <w:numId w:val="1"/>
              </w:numPr>
              <w:jc w:val="both"/>
              <w:rPr>
                <w:rFonts w:ascii="Arial" w:hAnsi="Arial" w:cs="Arial"/>
                <w:sz w:val="22"/>
                <w:szCs w:val="22"/>
              </w:rPr>
            </w:pPr>
            <w:r w:rsidRPr="00673D4A">
              <w:rPr>
                <w:rFonts w:ascii="Arial" w:hAnsi="Arial" w:cs="Arial"/>
                <w:sz w:val="22"/>
                <w:szCs w:val="22"/>
              </w:rPr>
              <w:t xml:space="preserve">To </w:t>
            </w:r>
            <w:r w:rsidR="00065EFD" w:rsidRPr="00673D4A">
              <w:rPr>
                <w:rFonts w:ascii="Arial" w:hAnsi="Arial" w:cs="Arial"/>
                <w:sz w:val="22"/>
                <w:szCs w:val="22"/>
              </w:rPr>
              <w:t>illustrate</w:t>
            </w:r>
            <w:r w:rsidRPr="00673D4A">
              <w:rPr>
                <w:rFonts w:ascii="Arial" w:hAnsi="Arial" w:cs="Arial"/>
                <w:sz w:val="22"/>
                <w:szCs w:val="22"/>
              </w:rPr>
              <w:t xml:space="preserve"> the historical review of options for financing health promotion </w:t>
            </w:r>
          </w:p>
          <w:p w14:paraId="5275647E" w14:textId="6769AAEE" w:rsidR="00065EFD" w:rsidRPr="00673D4A" w:rsidRDefault="00065EFD" w:rsidP="00065EFD">
            <w:pPr>
              <w:pStyle w:val="ListParagraph"/>
              <w:numPr>
                <w:ilvl w:val="0"/>
                <w:numId w:val="1"/>
              </w:numPr>
              <w:jc w:val="both"/>
              <w:rPr>
                <w:rFonts w:ascii="Arial" w:hAnsi="Arial" w:cs="Arial"/>
                <w:sz w:val="22"/>
                <w:szCs w:val="22"/>
              </w:rPr>
            </w:pPr>
            <w:r w:rsidRPr="00673D4A">
              <w:rPr>
                <w:rFonts w:ascii="Arial" w:hAnsi="Arial" w:cs="Arial"/>
                <w:sz w:val="22"/>
                <w:szCs w:val="22"/>
              </w:rPr>
              <w:t xml:space="preserve">To introduce the sustainable financing mechanism and the use of earmarked taxes globally </w:t>
            </w:r>
          </w:p>
          <w:p w14:paraId="69226179" w14:textId="4A0FEEC2" w:rsidR="00065EFD" w:rsidRPr="00673D4A" w:rsidRDefault="00065EFD" w:rsidP="00065EFD">
            <w:pPr>
              <w:pStyle w:val="ListParagraph"/>
              <w:numPr>
                <w:ilvl w:val="0"/>
                <w:numId w:val="1"/>
              </w:numPr>
              <w:jc w:val="both"/>
              <w:rPr>
                <w:rFonts w:ascii="Arial" w:hAnsi="Arial" w:cs="Arial"/>
                <w:sz w:val="22"/>
                <w:szCs w:val="22"/>
              </w:rPr>
            </w:pPr>
            <w:r w:rsidRPr="00673D4A">
              <w:rPr>
                <w:rFonts w:ascii="Arial" w:hAnsi="Arial" w:cs="Arial"/>
                <w:sz w:val="22"/>
                <w:szCs w:val="22"/>
              </w:rPr>
              <w:t>To provide the overview of different governance options for health promotion foundations/boards/administration/institutes</w:t>
            </w:r>
          </w:p>
          <w:p w14:paraId="239DDBFB" w14:textId="2AEEA1AC" w:rsidR="00CF4157" w:rsidRPr="00673D4A" w:rsidRDefault="00065EFD" w:rsidP="00065EFD">
            <w:pPr>
              <w:pStyle w:val="ListParagraph"/>
              <w:numPr>
                <w:ilvl w:val="0"/>
                <w:numId w:val="1"/>
              </w:numPr>
              <w:jc w:val="both"/>
              <w:rPr>
                <w:rFonts w:ascii="Arial" w:hAnsi="Arial" w:cs="Arial"/>
                <w:sz w:val="22"/>
                <w:szCs w:val="22"/>
              </w:rPr>
            </w:pPr>
            <w:r w:rsidRPr="00673D4A">
              <w:rPr>
                <w:rFonts w:ascii="Arial" w:hAnsi="Arial" w:cs="Arial"/>
                <w:sz w:val="22"/>
                <w:szCs w:val="22"/>
              </w:rPr>
              <w:t>To provide the experiences of financing on health promotion and tobacco control from the ASEAN region and introducing the INHPF</w:t>
            </w:r>
          </w:p>
          <w:p w14:paraId="7A0CF862" w14:textId="77777777" w:rsidR="00CF4157" w:rsidRPr="00673D4A" w:rsidRDefault="00CF4157" w:rsidP="00CE3AC9">
            <w:pPr>
              <w:jc w:val="both"/>
              <w:rPr>
                <w:rFonts w:ascii="Arial" w:hAnsi="Arial" w:cs="Arial"/>
                <w:sz w:val="22"/>
                <w:szCs w:val="22"/>
              </w:rPr>
            </w:pPr>
          </w:p>
          <w:p w14:paraId="5EA1BD63" w14:textId="77777777" w:rsidR="00CF4157" w:rsidRPr="00673D4A" w:rsidRDefault="00CF4157" w:rsidP="00CE3AC9">
            <w:pPr>
              <w:jc w:val="both"/>
              <w:rPr>
                <w:rFonts w:ascii="Arial" w:hAnsi="Arial" w:cs="Arial"/>
                <w:b/>
                <w:sz w:val="22"/>
                <w:szCs w:val="22"/>
              </w:rPr>
            </w:pPr>
            <w:r w:rsidRPr="00673D4A">
              <w:rPr>
                <w:rFonts w:ascii="Arial" w:hAnsi="Arial" w:cs="Arial"/>
                <w:b/>
                <w:sz w:val="22"/>
                <w:szCs w:val="22"/>
              </w:rPr>
              <w:t>Proposed format of the session</w:t>
            </w:r>
          </w:p>
          <w:p w14:paraId="7DEB6D7B" w14:textId="77777777" w:rsidR="00CF4157" w:rsidRPr="00673D4A" w:rsidRDefault="00CF4157" w:rsidP="00CE3AC9">
            <w:pPr>
              <w:jc w:val="both"/>
              <w:rPr>
                <w:rFonts w:ascii="Arial" w:hAnsi="Arial" w:cs="Arial"/>
                <w:b/>
                <w:sz w:val="22"/>
                <w:szCs w:val="22"/>
              </w:rPr>
            </w:pPr>
          </w:p>
          <w:p w14:paraId="4BD404D0" w14:textId="1FBCFC95" w:rsidR="00CF4157" w:rsidRPr="00673D4A" w:rsidRDefault="00065EFD" w:rsidP="00CE3AC9">
            <w:pPr>
              <w:jc w:val="both"/>
              <w:rPr>
                <w:rFonts w:ascii="Arial" w:hAnsi="Arial" w:cs="Arial"/>
                <w:bCs/>
                <w:sz w:val="22"/>
                <w:szCs w:val="22"/>
              </w:rPr>
            </w:pPr>
            <w:r w:rsidRPr="00673D4A">
              <w:rPr>
                <w:rFonts w:ascii="Arial" w:hAnsi="Arial" w:cs="Arial"/>
                <w:bCs/>
                <w:sz w:val="22"/>
                <w:szCs w:val="22"/>
              </w:rPr>
              <w:t>Roundtable Discussion</w:t>
            </w:r>
          </w:p>
          <w:p w14:paraId="1FC98697" w14:textId="77777777" w:rsidR="00CF4157" w:rsidRPr="00673D4A" w:rsidRDefault="00CF4157" w:rsidP="00CE3AC9">
            <w:pPr>
              <w:jc w:val="both"/>
              <w:rPr>
                <w:rFonts w:ascii="Arial" w:hAnsi="Arial" w:cs="Arial"/>
                <w:b/>
                <w:sz w:val="22"/>
                <w:szCs w:val="22"/>
              </w:rPr>
            </w:pPr>
          </w:p>
          <w:p w14:paraId="113D1F55" w14:textId="77777777" w:rsidR="00CF4157" w:rsidRPr="00673D4A" w:rsidRDefault="00CF4157" w:rsidP="00CE3AC9">
            <w:pPr>
              <w:jc w:val="both"/>
              <w:rPr>
                <w:rFonts w:ascii="Arial" w:hAnsi="Arial" w:cs="Arial"/>
                <w:b/>
                <w:sz w:val="22"/>
                <w:szCs w:val="22"/>
              </w:rPr>
            </w:pPr>
            <w:r w:rsidRPr="00673D4A">
              <w:rPr>
                <w:rFonts w:ascii="Arial" w:hAnsi="Arial" w:cs="Arial"/>
                <w:b/>
                <w:sz w:val="22"/>
                <w:szCs w:val="22"/>
              </w:rPr>
              <w:t>Conference theme and/or subthemes addressed</w:t>
            </w:r>
          </w:p>
          <w:p w14:paraId="70E7B680" w14:textId="77777777" w:rsidR="00CF4157" w:rsidRPr="00673D4A" w:rsidRDefault="00CF4157" w:rsidP="00CE3AC9">
            <w:pPr>
              <w:jc w:val="both"/>
              <w:rPr>
                <w:rFonts w:ascii="Arial" w:hAnsi="Arial" w:cs="Arial"/>
                <w:b/>
                <w:sz w:val="22"/>
                <w:szCs w:val="22"/>
              </w:rPr>
            </w:pPr>
          </w:p>
          <w:p w14:paraId="0B4561DE" w14:textId="77777777" w:rsidR="00065EFD" w:rsidRPr="00673D4A" w:rsidRDefault="00065EFD" w:rsidP="00065EFD">
            <w:pPr>
              <w:spacing w:before="150" w:after="150"/>
              <w:outlineLvl w:val="3"/>
              <w:rPr>
                <w:rFonts w:ascii="Arial" w:hAnsi="Arial"/>
                <w:sz w:val="22"/>
                <w:szCs w:val="22"/>
              </w:rPr>
            </w:pPr>
            <w:r w:rsidRPr="00673D4A">
              <w:rPr>
                <w:rFonts w:ascii="Arial" w:hAnsi="Arial"/>
                <w:sz w:val="22"/>
                <w:szCs w:val="22"/>
              </w:rPr>
              <w:t>Health Equity: </w:t>
            </w:r>
          </w:p>
          <w:p w14:paraId="7FC832A6" w14:textId="77777777" w:rsidR="00065EFD" w:rsidRPr="00673D4A" w:rsidRDefault="00065EFD" w:rsidP="00065EFD">
            <w:pPr>
              <w:rPr>
                <w:rFonts w:ascii="Arial" w:hAnsi="Arial"/>
                <w:sz w:val="22"/>
                <w:szCs w:val="22"/>
              </w:rPr>
            </w:pPr>
            <w:r w:rsidRPr="00673D4A">
              <w:rPr>
                <w:rFonts w:ascii="Arial" w:hAnsi="Arial"/>
                <w:sz w:val="22"/>
                <w:szCs w:val="22"/>
                <w:shd w:val="clear" w:color="auto" w:fill="FFFFFF"/>
              </w:rPr>
              <w:t>Ensure health equity throughout the life course, within and among countries, making each member of the global society an empowered lifelong learner </w:t>
            </w:r>
          </w:p>
          <w:p w14:paraId="3E4C0291" w14:textId="77777777" w:rsidR="00065EFD" w:rsidRPr="00673D4A" w:rsidRDefault="00065EFD" w:rsidP="00065EFD">
            <w:pPr>
              <w:jc w:val="both"/>
              <w:rPr>
                <w:rFonts w:ascii="Arial" w:hAnsi="Arial" w:cs="Arial"/>
                <w:b/>
                <w:sz w:val="22"/>
                <w:szCs w:val="22"/>
              </w:rPr>
            </w:pPr>
          </w:p>
          <w:p w14:paraId="050B3CB0" w14:textId="77777777" w:rsidR="00065EFD" w:rsidRPr="00673D4A" w:rsidRDefault="00065EFD" w:rsidP="00065EFD">
            <w:pPr>
              <w:spacing w:before="150" w:after="150"/>
              <w:outlineLvl w:val="3"/>
              <w:rPr>
                <w:rFonts w:ascii="Arial" w:hAnsi="Arial"/>
                <w:sz w:val="22"/>
                <w:szCs w:val="22"/>
              </w:rPr>
            </w:pPr>
            <w:r w:rsidRPr="00673D4A">
              <w:rPr>
                <w:rFonts w:ascii="Arial" w:hAnsi="Arial"/>
                <w:sz w:val="22"/>
                <w:szCs w:val="22"/>
              </w:rPr>
              <w:t>Build effective, accountable and inclusive governance:</w:t>
            </w:r>
          </w:p>
          <w:p w14:paraId="1B23CE68" w14:textId="77777777" w:rsidR="00065EFD" w:rsidRPr="00673D4A" w:rsidRDefault="00065EFD" w:rsidP="00065EFD">
            <w:pPr>
              <w:rPr>
                <w:rFonts w:ascii="Arial" w:hAnsi="Arial"/>
                <w:sz w:val="22"/>
                <w:szCs w:val="22"/>
              </w:rPr>
            </w:pPr>
            <w:r w:rsidRPr="00673D4A">
              <w:rPr>
                <w:rFonts w:ascii="Arial" w:hAnsi="Arial"/>
                <w:sz w:val="22"/>
                <w:szCs w:val="22"/>
                <w:shd w:val="clear" w:color="auto" w:fill="FFFFFF"/>
              </w:rPr>
              <w:t>Build effective, accountable and inclusive governance at all levels that promotes, peace, justice and respect of human rights</w:t>
            </w:r>
          </w:p>
          <w:p w14:paraId="47B23489" w14:textId="77777777" w:rsidR="00065EFD" w:rsidRPr="00673D4A" w:rsidRDefault="00065EFD" w:rsidP="00065EFD">
            <w:pPr>
              <w:jc w:val="both"/>
              <w:rPr>
                <w:rFonts w:ascii="Arial" w:hAnsi="Arial" w:cs="Arial"/>
                <w:b/>
                <w:sz w:val="22"/>
                <w:szCs w:val="22"/>
              </w:rPr>
            </w:pPr>
          </w:p>
          <w:p w14:paraId="1A9653EC" w14:textId="77777777" w:rsidR="00065EFD" w:rsidRPr="00673D4A" w:rsidRDefault="00065EFD" w:rsidP="00065EFD">
            <w:pPr>
              <w:jc w:val="both"/>
              <w:rPr>
                <w:rFonts w:ascii="Arial" w:hAnsi="Arial" w:cs="Arial"/>
                <w:b/>
                <w:sz w:val="22"/>
                <w:szCs w:val="22"/>
              </w:rPr>
            </w:pPr>
          </w:p>
          <w:p w14:paraId="0451364D" w14:textId="77777777" w:rsidR="00CF4157" w:rsidRPr="00673D4A" w:rsidRDefault="00CF4157" w:rsidP="00CE3AC9">
            <w:pPr>
              <w:jc w:val="both"/>
              <w:rPr>
                <w:rFonts w:ascii="Arial" w:hAnsi="Arial" w:cs="Arial"/>
                <w:b/>
                <w:sz w:val="22"/>
                <w:szCs w:val="22"/>
              </w:rPr>
            </w:pPr>
          </w:p>
          <w:p w14:paraId="3A9CEDBB" w14:textId="77777777" w:rsidR="00CF4157" w:rsidRPr="00673D4A" w:rsidRDefault="00CF4157" w:rsidP="00CE3AC9">
            <w:pPr>
              <w:jc w:val="both"/>
              <w:rPr>
                <w:rFonts w:ascii="Arial" w:hAnsi="Arial" w:cs="Arial"/>
                <w:b/>
                <w:sz w:val="22"/>
                <w:szCs w:val="22"/>
              </w:rPr>
            </w:pPr>
          </w:p>
          <w:p w14:paraId="3158FCE5" w14:textId="77777777" w:rsidR="00CF4157" w:rsidRPr="00673D4A" w:rsidRDefault="00CF4157" w:rsidP="00CE3AC9">
            <w:pPr>
              <w:jc w:val="both"/>
              <w:rPr>
                <w:rFonts w:ascii="Arial" w:hAnsi="Arial" w:cs="Arial"/>
                <w:b/>
                <w:sz w:val="22"/>
                <w:szCs w:val="22"/>
              </w:rPr>
            </w:pPr>
          </w:p>
          <w:p w14:paraId="3DEAAE7D" w14:textId="77777777" w:rsidR="00CF4157" w:rsidRPr="00673D4A" w:rsidRDefault="00CF4157" w:rsidP="00CE3AC9">
            <w:pPr>
              <w:jc w:val="both"/>
              <w:rPr>
                <w:rFonts w:ascii="Arial" w:hAnsi="Arial" w:cs="Arial"/>
                <w:bCs/>
                <w:sz w:val="22"/>
                <w:szCs w:val="22"/>
              </w:rPr>
            </w:pPr>
          </w:p>
        </w:tc>
      </w:tr>
    </w:tbl>
    <w:p w14:paraId="534C9516" w14:textId="56B6546F" w:rsidR="00490208" w:rsidRPr="00673D4A" w:rsidRDefault="00490208">
      <w:pPr>
        <w:rPr>
          <w:rFonts w:ascii="Arial" w:hAnsi="Arial"/>
          <w:sz w:val="22"/>
          <w:szCs w:val="22"/>
        </w:rPr>
      </w:pPr>
    </w:p>
    <w:p w14:paraId="57DC029E" w14:textId="77777777" w:rsidR="00CF4157" w:rsidRPr="00673D4A" w:rsidRDefault="00CF4157">
      <w:pPr>
        <w:rPr>
          <w:rFonts w:ascii="Arial" w:hAnsi="Arial"/>
          <w:sz w:val="22"/>
          <w:szCs w:val="22"/>
        </w:rPr>
      </w:pPr>
    </w:p>
    <w:p w14:paraId="2E5D57B8" w14:textId="77777777" w:rsidR="00CF4157" w:rsidRPr="00673D4A" w:rsidRDefault="00CF4157">
      <w:pPr>
        <w:rPr>
          <w:rFonts w:ascii="Arial" w:hAnsi="Arial"/>
          <w:sz w:val="22"/>
          <w:szCs w:val="22"/>
        </w:rPr>
      </w:pPr>
    </w:p>
    <w:p w14:paraId="4DFAEC09" w14:textId="77777777" w:rsidR="00CF4157" w:rsidRPr="00673D4A" w:rsidRDefault="00CF4157">
      <w:pPr>
        <w:rPr>
          <w:rFonts w:ascii="Arial" w:hAnsi="Arial"/>
          <w:sz w:val="22"/>
          <w:szCs w:val="22"/>
        </w:rPr>
      </w:pPr>
    </w:p>
    <w:p w14:paraId="2E3DE5F8" w14:textId="77777777" w:rsidR="00CF4157" w:rsidRPr="00673D4A" w:rsidRDefault="00CF4157">
      <w:pPr>
        <w:rPr>
          <w:rFonts w:ascii="Arial" w:hAnsi="Arial"/>
          <w:sz w:val="22"/>
          <w:szCs w:val="22"/>
        </w:rPr>
      </w:pPr>
    </w:p>
    <w:p w14:paraId="308091E7" w14:textId="77777777" w:rsidR="00CF4157" w:rsidRPr="00673D4A" w:rsidRDefault="00CF4157">
      <w:pPr>
        <w:rPr>
          <w:rFonts w:ascii="Arial" w:hAnsi="Arial"/>
          <w:sz w:val="22"/>
          <w:szCs w:val="22"/>
        </w:rPr>
      </w:pPr>
    </w:p>
    <w:p w14:paraId="4F6A1ADE" w14:textId="77777777" w:rsidR="00CF4157" w:rsidRPr="00673D4A" w:rsidRDefault="00CF4157">
      <w:pPr>
        <w:rPr>
          <w:rFonts w:ascii="Arial" w:hAnsi="Arial"/>
          <w:sz w:val="22"/>
          <w:szCs w:val="22"/>
        </w:rPr>
      </w:pPr>
    </w:p>
    <w:p w14:paraId="008428A1" w14:textId="77777777" w:rsidR="00CF4157" w:rsidRPr="00673D4A" w:rsidRDefault="00CF4157">
      <w:pPr>
        <w:rPr>
          <w:rFonts w:ascii="Arial" w:hAnsi="Arial"/>
          <w:sz w:val="22"/>
          <w:szCs w:val="22"/>
        </w:rPr>
      </w:pPr>
    </w:p>
    <w:p w14:paraId="2E495180" w14:textId="77777777" w:rsidR="00CF4157" w:rsidRPr="00673D4A" w:rsidRDefault="00CF4157">
      <w:pPr>
        <w:rPr>
          <w:rFonts w:ascii="Arial" w:hAnsi="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673D4A" w:rsidRPr="00673D4A" w14:paraId="72708220" w14:textId="77777777" w:rsidTr="00BE682F">
        <w:tc>
          <w:tcPr>
            <w:tcW w:w="8640" w:type="dxa"/>
          </w:tcPr>
          <w:p w14:paraId="3C004C00" w14:textId="42B0CAF9" w:rsidR="00490208" w:rsidRPr="00673D4A" w:rsidRDefault="00490208" w:rsidP="00FB7F4D">
            <w:pPr>
              <w:rPr>
                <w:rFonts w:ascii="Arial" w:hAnsi="Arial"/>
                <w:sz w:val="22"/>
                <w:szCs w:val="22"/>
              </w:rPr>
            </w:pPr>
            <w:r w:rsidRPr="00673D4A">
              <w:rPr>
                <w:rFonts w:ascii="Arial" w:hAnsi="Arial" w:cs="Arial"/>
                <w:b/>
                <w:sz w:val="22"/>
                <w:szCs w:val="22"/>
              </w:rPr>
              <w:t xml:space="preserve">Title of </w:t>
            </w:r>
            <w:r w:rsidR="00CF4157" w:rsidRPr="00673D4A">
              <w:rPr>
                <w:rFonts w:ascii="Arial" w:hAnsi="Arial" w:cs="Arial"/>
                <w:b/>
                <w:sz w:val="22"/>
                <w:szCs w:val="22"/>
              </w:rPr>
              <w:t>Presentation 2</w:t>
            </w:r>
            <w:r w:rsidRPr="00673D4A">
              <w:rPr>
                <w:rFonts w:ascii="Arial" w:hAnsi="Arial" w:cs="Arial"/>
                <w:b/>
                <w:sz w:val="22"/>
                <w:szCs w:val="22"/>
              </w:rPr>
              <w:t xml:space="preserve"> </w:t>
            </w:r>
            <w:r w:rsidRPr="00673D4A">
              <w:rPr>
                <w:rFonts w:ascii="Arial" w:hAnsi="Arial" w:cs="Arial"/>
                <w:sz w:val="22"/>
                <w:szCs w:val="22"/>
              </w:rPr>
              <w:t>(Sentence case)</w:t>
            </w:r>
            <w:r w:rsidR="00C222C8" w:rsidRPr="00673D4A">
              <w:rPr>
                <w:rFonts w:ascii="Arial" w:hAnsi="Arial" w:cs="Arial"/>
                <w:sz w:val="22"/>
                <w:szCs w:val="22"/>
              </w:rPr>
              <w:t xml:space="preserve">: </w:t>
            </w:r>
            <w:r w:rsidR="00FB7F4D" w:rsidRPr="00673D4A">
              <w:rPr>
                <w:rFonts w:ascii="Arial" w:hAnsi="Arial" w:cs="Arial"/>
                <w:sz w:val="22"/>
                <w:szCs w:val="22"/>
              </w:rPr>
              <w:t>VicHealth: The world’s first health promotion foundation</w:t>
            </w:r>
          </w:p>
        </w:tc>
      </w:tr>
      <w:tr w:rsidR="00673D4A" w:rsidRPr="00673D4A" w14:paraId="363535C0" w14:textId="77777777" w:rsidTr="00BE682F">
        <w:trPr>
          <w:trHeight w:val="7663"/>
        </w:trPr>
        <w:tc>
          <w:tcPr>
            <w:tcW w:w="8640" w:type="dxa"/>
          </w:tcPr>
          <w:p w14:paraId="7AA5A3E6" w14:textId="77777777" w:rsidR="00490208" w:rsidRPr="00673D4A" w:rsidRDefault="00490208" w:rsidP="00BE682F">
            <w:pPr>
              <w:jc w:val="both"/>
              <w:rPr>
                <w:rFonts w:ascii="Arial" w:hAnsi="Arial" w:cs="Arial"/>
                <w:b/>
                <w:sz w:val="22"/>
                <w:szCs w:val="22"/>
              </w:rPr>
            </w:pPr>
          </w:p>
          <w:p w14:paraId="566F217B" w14:textId="77777777" w:rsidR="00FB7F4D" w:rsidRPr="00673D4A" w:rsidRDefault="00FB7F4D" w:rsidP="00FB7F4D">
            <w:pPr>
              <w:numPr>
                <w:ilvl w:val="0"/>
                <w:numId w:val="4"/>
              </w:numPr>
              <w:tabs>
                <w:tab w:val="clear" w:pos="720"/>
              </w:tabs>
              <w:ind w:left="920"/>
              <w:rPr>
                <w:rFonts w:ascii="Arial" w:hAnsi="Arial" w:cs="Arial"/>
                <w:sz w:val="22"/>
                <w:szCs w:val="22"/>
              </w:rPr>
            </w:pPr>
            <w:r w:rsidRPr="00673D4A">
              <w:rPr>
                <w:rFonts w:ascii="Arial" w:hAnsi="Arial" w:cs="Arial"/>
                <w:sz w:val="22"/>
                <w:szCs w:val="22"/>
              </w:rPr>
              <w:t>Overview of VicHealth, the Victorian Health Promotion Foundation</w:t>
            </w:r>
          </w:p>
          <w:p w14:paraId="00646226" w14:textId="77777777" w:rsidR="00FB7F4D" w:rsidRPr="00673D4A" w:rsidRDefault="00FB7F4D" w:rsidP="00FB7F4D">
            <w:pPr>
              <w:numPr>
                <w:ilvl w:val="0"/>
                <w:numId w:val="4"/>
              </w:numPr>
              <w:tabs>
                <w:tab w:val="clear" w:pos="720"/>
              </w:tabs>
              <w:ind w:left="945"/>
              <w:rPr>
                <w:rFonts w:ascii="Arial" w:hAnsi="Arial" w:cs="Arial"/>
                <w:sz w:val="22"/>
                <w:szCs w:val="22"/>
              </w:rPr>
            </w:pPr>
            <w:r w:rsidRPr="00673D4A">
              <w:rPr>
                <w:rFonts w:ascii="Arial" w:hAnsi="Arial" w:cs="Arial"/>
                <w:sz w:val="22"/>
                <w:szCs w:val="22"/>
              </w:rPr>
              <w:t>VicHealth’s Action Agenda for Health Promotion 2013-23 and its 10-year horizon for five strategic imperatives—promote healthy eating; encourage regular physical activity; prevent tobacco use; prevent harm from alcohol; and improve mental wellbeing</w:t>
            </w:r>
          </w:p>
          <w:p w14:paraId="261605F3" w14:textId="599D787F" w:rsidR="00FB7F4D" w:rsidRPr="00673D4A" w:rsidRDefault="00FB7F4D" w:rsidP="00FB7F4D">
            <w:pPr>
              <w:numPr>
                <w:ilvl w:val="0"/>
                <w:numId w:val="4"/>
              </w:numPr>
              <w:tabs>
                <w:tab w:val="clear" w:pos="720"/>
              </w:tabs>
              <w:ind w:left="945"/>
              <w:rPr>
                <w:rFonts w:ascii="Arial" w:hAnsi="Arial" w:cs="Arial"/>
                <w:sz w:val="22"/>
                <w:szCs w:val="22"/>
              </w:rPr>
            </w:pPr>
            <w:r w:rsidRPr="00673D4A">
              <w:rPr>
                <w:rFonts w:ascii="Arial" w:hAnsi="Arial" w:cs="Arial"/>
                <w:sz w:val="22"/>
                <w:szCs w:val="22"/>
              </w:rPr>
              <w:t>Highlight a number of VicHealth’s major successes over its 30-year existence</w:t>
            </w:r>
          </w:p>
          <w:p w14:paraId="35EF1352" w14:textId="0CE67320" w:rsidR="00FB7F4D" w:rsidRPr="00673D4A" w:rsidRDefault="00FB7F4D" w:rsidP="00FB7F4D">
            <w:pPr>
              <w:numPr>
                <w:ilvl w:val="0"/>
                <w:numId w:val="4"/>
              </w:numPr>
              <w:tabs>
                <w:tab w:val="clear" w:pos="720"/>
              </w:tabs>
              <w:ind w:left="945"/>
              <w:rPr>
                <w:rFonts w:ascii="Arial" w:hAnsi="Arial" w:cs="Arial"/>
                <w:sz w:val="22"/>
                <w:szCs w:val="22"/>
              </w:rPr>
            </w:pPr>
            <w:r w:rsidRPr="00673D4A">
              <w:rPr>
                <w:rFonts w:ascii="Arial" w:hAnsi="Arial" w:cs="Arial"/>
                <w:sz w:val="22"/>
                <w:szCs w:val="22"/>
              </w:rPr>
              <w:t xml:space="preserve">Identify key insights with the potential to strengthen the health promotion practice of other Foundations and </w:t>
            </w:r>
            <w:proofErr w:type="spellStart"/>
            <w:r w:rsidRPr="00673D4A">
              <w:rPr>
                <w:rFonts w:ascii="Arial" w:hAnsi="Arial" w:cs="Arial"/>
                <w:sz w:val="22"/>
                <w:szCs w:val="22"/>
              </w:rPr>
              <w:t>organisations</w:t>
            </w:r>
            <w:proofErr w:type="spellEnd"/>
            <w:r w:rsidRPr="00673D4A">
              <w:rPr>
                <w:rFonts w:ascii="Arial" w:hAnsi="Arial" w:cs="Arial"/>
                <w:sz w:val="22"/>
                <w:szCs w:val="22"/>
              </w:rPr>
              <w:t xml:space="preserve"> within Australia and internationally</w:t>
            </w:r>
          </w:p>
          <w:p w14:paraId="5BA919D7" w14:textId="77777777" w:rsidR="00FB7F4D" w:rsidRPr="00673D4A" w:rsidRDefault="00FB7F4D" w:rsidP="00BE682F">
            <w:pPr>
              <w:jc w:val="both"/>
              <w:rPr>
                <w:rFonts w:ascii="Arial" w:hAnsi="Arial" w:cs="Arial"/>
                <w:b/>
                <w:sz w:val="22"/>
                <w:szCs w:val="22"/>
              </w:rPr>
            </w:pPr>
          </w:p>
          <w:p w14:paraId="3F8DA1CB" w14:textId="77777777" w:rsidR="00490208" w:rsidRPr="00673D4A" w:rsidRDefault="00490208" w:rsidP="00BE682F">
            <w:pPr>
              <w:jc w:val="both"/>
              <w:rPr>
                <w:rFonts w:ascii="Arial" w:hAnsi="Arial" w:cs="Arial"/>
                <w:b/>
                <w:sz w:val="22"/>
                <w:szCs w:val="22"/>
              </w:rPr>
            </w:pPr>
            <w:r w:rsidRPr="00673D4A">
              <w:rPr>
                <w:rFonts w:ascii="Arial" w:hAnsi="Arial" w:cs="Arial"/>
                <w:b/>
                <w:sz w:val="22"/>
                <w:szCs w:val="22"/>
              </w:rPr>
              <w:t>General Objective</w:t>
            </w:r>
          </w:p>
          <w:p w14:paraId="176D6ADB" w14:textId="77777777" w:rsidR="00FB7F4D" w:rsidRPr="00673D4A" w:rsidRDefault="00FB7F4D" w:rsidP="00FB7F4D">
            <w:pPr>
              <w:rPr>
                <w:rFonts w:ascii="Arial" w:hAnsi="Arial" w:cs="Arial"/>
                <w:sz w:val="22"/>
                <w:szCs w:val="22"/>
              </w:rPr>
            </w:pPr>
            <w:r w:rsidRPr="00673D4A">
              <w:rPr>
                <w:rFonts w:ascii="Arial" w:hAnsi="Arial" w:cs="Arial"/>
                <w:sz w:val="22"/>
                <w:szCs w:val="22"/>
              </w:rPr>
              <w:t>To share VicHealth’s experiences and insights from being the world’s first health promotion foundation more than 30 years ago and supporting other foundations since.</w:t>
            </w:r>
          </w:p>
          <w:p w14:paraId="0859D618" w14:textId="77777777" w:rsidR="00490208" w:rsidRPr="00673D4A" w:rsidRDefault="00490208" w:rsidP="00BE682F">
            <w:pPr>
              <w:jc w:val="both"/>
              <w:rPr>
                <w:rFonts w:ascii="Arial" w:hAnsi="Arial" w:cs="Arial"/>
                <w:sz w:val="22"/>
                <w:szCs w:val="22"/>
              </w:rPr>
            </w:pPr>
          </w:p>
          <w:p w14:paraId="79771EB9" w14:textId="77777777" w:rsidR="00490208" w:rsidRPr="00673D4A" w:rsidRDefault="00490208" w:rsidP="00BE682F">
            <w:pPr>
              <w:jc w:val="both"/>
              <w:rPr>
                <w:rFonts w:ascii="Arial" w:hAnsi="Arial" w:cs="Arial"/>
                <w:b/>
                <w:sz w:val="22"/>
                <w:szCs w:val="22"/>
              </w:rPr>
            </w:pPr>
            <w:r w:rsidRPr="00673D4A">
              <w:rPr>
                <w:rFonts w:ascii="Arial" w:hAnsi="Arial" w:cs="Arial"/>
                <w:b/>
                <w:sz w:val="22"/>
                <w:szCs w:val="22"/>
              </w:rPr>
              <w:t>Proposed format of the session</w:t>
            </w:r>
          </w:p>
          <w:p w14:paraId="69E28E66" w14:textId="77777777" w:rsidR="00490208" w:rsidRPr="00673D4A" w:rsidRDefault="00490208" w:rsidP="00BE682F">
            <w:pPr>
              <w:jc w:val="both"/>
              <w:rPr>
                <w:rFonts w:ascii="Arial" w:hAnsi="Arial" w:cs="Arial"/>
                <w:b/>
                <w:sz w:val="22"/>
                <w:szCs w:val="22"/>
              </w:rPr>
            </w:pPr>
          </w:p>
          <w:p w14:paraId="337DCE2D" w14:textId="26697AF1" w:rsidR="00490208" w:rsidRPr="00673D4A" w:rsidRDefault="009D5CDF" w:rsidP="00BE682F">
            <w:pPr>
              <w:jc w:val="both"/>
              <w:rPr>
                <w:rFonts w:ascii="Arial" w:hAnsi="Arial" w:cs="Arial"/>
                <w:bCs/>
                <w:sz w:val="22"/>
                <w:szCs w:val="22"/>
              </w:rPr>
            </w:pPr>
            <w:r w:rsidRPr="00673D4A">
              <w:rPr>
                <w:rFonts w:ascii="Arial" w:hAnsi="Arial" w:cs="Arial"/>
                <w:bCs/>
                <w:sz w:val="22"/>
                <w:szCs w:val="22"/>
              </w:rPr>
              <w:t xml:space="preserve">Roundtable Discussion </w:t>
            </w:r>
          </w:p>
          <w:p w14:paraId="7C5B5622" w14:textId="77777777" w:rsidR="00490208" w:rsidRPr="00673D4A" w:rsidRDefault="00490208" w:rsidP="00BE682F">
            <w:pPr>
              <w:jc w:val="both"/>
              <w:rPr>
                <w:rFonts w:ascii="Arial" w:hAnsi="Arial" w:cs="Arial"/>
                <w:b/>
                <w:sz w:val="22"/>
                <w:szCs w:val="22"/>
              </w:rPr>
            </w:pPr>
          </w:p>
          <w:p w14:paraId="5704429F" w14:textId="77777777" w:rsidR="00490208" w:rsidRPr="00673D4A" w:rsidRDefault="00490208" w:rsidP="00BE682F">
            <w:pPr>
              <w:jc w:val="both"/>
              <w:rPr>
                <w:rFonts w:ascii="Arial" w:hAnsi="Arial" w:cs="Arial"/>
                <w:b/>
                <w:sz w:val="22"/>
                <w:szCs w:val="22"/>
              </w:rPr>
            </w:pPr>
            <w:r w:rsidRPr="00673D4A">
              <w:rPr>
                <w:rFonts w:ascii="Arial" w:hAnsi="Arial" w:cs="Arial"/>
                <w:b/>
                <w:sz w:val="22"/>
                <w:szCs w:val="22"/>
              </w:rPr>
              <w:t>Conference theme and/or subthemes addressed</w:t>
            </w:r>
          </w:p>
          <w:p w14:paraId="597CB9BB" w14:textId="77777777" w:rsidR="00490208" w:rsidRPr="00673D4A" w:rsidRDefault="00490208" w:rsidP="00BE682F">
            <w:pPr>
              <w:jc w:val="both"/>
              <w:rPr>
                <w:rFonts w:ascii="Arial" w:hAnsi="Arial" w:cs="Arial"/>
                <w:b/>
                <w:sz w:val="22"/>
                <w:szCs w:val="22"/>
              </w:rPr>
            </w:pPr>
          </w:p>
          <w:p w14:paraId="314111F4" w14:textId="77777777" w:rsidR="009D5CDF" w:rsidRPr="00673D4A" w:rsidRDefault="009D5CDF" w:rsidP="009D5CDF">
            <w:pPr>
              <w:spacing w:before="150" w:after="150"/>
              <w:outlineLvl w:val="3"/>
              <w:rPr>
                <w:rFonts w:ascii="Arial" w:hAnsi="Arial"/>
                <w:sz w:val="22"/>
                <w:szCs w:val="22"/>
              </w:rPr>
            </w:pPr>
            <w:r w:rsidRPr="00673D4A">
              <w:rPr>
                <w:rFonts w:ascii="Arial" w:hAnsi="Arial"/>
                <w:sz w:val="22"/>
                <w:szCs w:val="22"/>
              </w:rPr>
              <w:t>Health Equity: </w:t>
            </w:r>
          </w:p>
          <w:p w14:paraId="285A825A" w14:textId="77777777" w:rsidR="009D5CDF" w:rsidRPr="00673D4A" w:rsidRDefault="009D5CDF" w:rsidP="009D5CDF">
            <w:pPr>
              <w:rPr>
                <w:rFonts w:ascii="Arial" w:hAnsi="Arial"/>
                <w:sz w:val="22"/>
                <w:szCs w:val="22"/>
              </w:rPr>
            </w:pPr>
            <w:r w:rsidRPr="00673D4A">
              <w:rPr>
                <w:rFonts w:ascii="Arial" w:hAnsi="Arial"/>
                <w:sz w:val="22"/>
                <w:szCs w:val="22"/>
                <w:shd w:val="clear" w:color="auto" w:fill="FFFFFF"/>
              </w:rPr>
              <w:t>Ensure health equity throughout the life course, within and among countries, making each member of the global society an empowered lifelong learner </w:t>
            </w:r>
          </w:p>
          <w:p w14:paraId="20EE3153" w14:textId="77777777" w:rsidR="00490208" w:rsidRPr="00673D4A" w:rsidRDefault="00490208" w:rsidP="00BE682F">
            <w:pPr>
              <w:jc w:val="both"/>
              <w:rPr>
                <w:rFonts w:ascii="Arial" w:hAnsi="Arial" w:cs="Arial"/>
                <w:b/>
                <w:sz w:val="22"/>
                <w:szCs w:val="22"/>
              </w:rPr>
            </w:pPr>
          </w:p>
          <w:p w14:paraId="7741ADCA" w14:textId="77777777" w:rsidR="009D5CDF" w:rsidRPr="00673D4A" w:rsidRDefault="009D5CDF" w:rsidP="009D5CDF">
            <w:pPr>
              <w:spacing w:before="150" w:after="150"/>
              <w:outlineLvl w:val="3"/>
              <w:rPr>
                <w:rFonts w:ascii="Arial" w:hAnsi="Arial"/>
                <w:sz w:val="22"/>
                <w:szCs w:val="22"/>
              </w:rPr>
            </w:pPr>
            <w:r w:rsidRPr="00673D4A">
              <w:rPr>
                <w:rFonts w:ascii="Arial" w:hAnsi="Arial"/>
                <w:sz w:val="22"/>
                <w:szCs w:val="22"/>
              </w:rPr>
              <w:t>Build effective, accountable and inclusive governance:</w:t>
            </w:r>
          </w:p>
          <w:p w14:paraId="2DB515AC" w14:textId="77777777" w:rsidR="009D5CDF" w:rsidRPr="00673D4A" w:rsidRDefault="009D5CDF" w:rsidP="009D5CDF">
            <w:pPr>
              <w:rPr>
                <w:rFonts w:ascii="Arial" w:hAnsi="Arial"/>
                <w:sz w:val="22"/>
                <w:szCs w:val="22"/>
              </w:rPr>
            </w:pPr>
            <w:r w:rsidRPr="00673D4A">
              <w:rPr>
                <w:rFonts w:ascii="Arial" w:hAnsi="Arial"/>
                <w:sz w:val="22"/>
                <w:szCs w:val="22"/>
                <w:shd w:val="clear" w:color="auto" w:fill="FFFFFF"/>
              </w:rPr>
              <w:t>Build effective, accountable and inclusive governance at all levels that promotes, peace, justice and respect of human rights</w:t>
            </w:r>
          </w:p>
          <w:p w14:paraId="33477FD4" w14:textId="77777777" w:rsidR="009D5CDF" w:rsidRPr="00673D4A" w:rsidRDefault="009D5CDF" w:rsidP="00BE682F">
            <w:pPr>
              <w:jc w:val="both"/>
              <w:rPr>
                <w:rFonts w:ascii="Arial" w:hAnsi="Arial" w:cs="Arial"/>
                <w:b/>
                <w:sz w:val="22"/>
                <w:szCs w:val="22"/>
              </w:rPr>
            </w:pPr>
          </w:p>
          <w:p w14:paraId="4AD3B0DF" w14:textId="77777777" w:rsidR="00490208" w:rsidRPr="00673D4A" w:rsidRDefault="00490208" w:rsidP="00BE682F">
            <w:pPr>
              <w:jc w:val="both"/>
              <w:rPr>
                <w:rFonts w:ascii="Arial" w:hAnsi="Arial" w:cs="Arial"/>
                <w:bCs/>
                <w:sz w:val="22"/>
                <w:szCs w:val="22"/>
              </w:rPr>
            </w:pPr>
          </w:p>
        </w:tc>
      </w:tr>
    </w:tbl>
    <w:p w14:paraId="68FA018E" w14:textId="77777777" w:rsidR="00F407AD" w:rsidRPr="00673D4A" w:rsidRDefault="00F407AD">
      <w:pPr>
        <w:rPr>
          <w:rFonts w:ascii="Arial" w:hAnsi="Arial"/>
          <w:sz w:val="22"/>
          <w:szCs w:val="22"/>
        </w:rPr>
      </w:pPr>
      <w:r w:rsidRPr="00673D4A">
        <w:rPr>
          <w:rFonts w:ascii="Arial" w:hAnsi="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673D4A" w:rsidRPr="00673D4A" w14:paraId="499E3D29" w14:textId="77777777" w:rsidTr="00BE682F">
        <w:tc>
          <w:tcPr>
            <w:tcW w:w="8640" w:type="dxa"/>
          </w:tcPr>
          <w:p w14:paraId="5A1A9A4C" w14:textId="3827A0EB" w:rsidR="00F407AD" w:rsidRPr="00673D4A" w:rsidRDefault="00CF4157" w:rsidP="00C165E6">
            <w:pPr>
              <w:jc w:val="both"/>
              <w:rPr>
                <w:rFonts w:ascii="Arial" w:hAnsi="Arial" w:cs="Arial"/>
                <w:sz w:val="22"/>
                <w:szCs w:val="22"/>
              </w:rPr>
            </w:pPr>
            <w:r w:rsidRPr="00673D4A">
              <w:rPr>
                <w:rFonts w:ascii="Arial" w:hAnsi="Arial" w:cs="Arial"/>
                <w:b/>
                <w:sz w:val="22"/>
                <w:szCs w:val="22"/>
              </w:rPr>
              <w:lastRenderedPageBreak/>
              <w:t>Title of Presentation 3</w:t>
            </w:r>
            <w:r w:rsidR="00F407AD" w:rsidRPr="00673D4A">
              <w:rPr>
                <w:rFonts w:ascii="Arial" w:hAnsi="Arial" w:cs="Arial"/>
                <w:b/>
                <w:sz w:val="22"/>
                <w:szCs w:val="22"/>
              </w:rPr>
              <w:t xml:space="preserve"> </w:t>
            </w:r>
            <w:r w:rsidR="00F407AD" w:rsidRPr="00673D4A">
              <w:rPr>
                <w:rFonts w:ascii="Arial" w:hAnsi="Arial" w:cs="Arial"/>
                <w:sz w:val="22"/>
                <w:szCs w:val="22"/>
              </w:rPr>
              <w:t>(Sentence case)</w:t>
            </w:r>
            <w:r w:rsidR="009B48B0" w:rsidRPr="00673D4A">
              <w:rPr>
                <w:rFonts w:ascii="Arial" w:hAnsi="Arial" w:cs="Arial"/>
                <w:sz w:val="22"/>
                <w:szCs w:val="22"/>
              </w:rPr>
              <w:t xml:space="preserve">: Singapore Health Promotion Board: </w:t>
            </w:r>
            <w:r w:rsidR="00950710" w:rsidRPr="00673D4A">
              <w:rPr>
                <w:rFonts w:ascii="Arial" w:hAnsi="Arial" w:cs="Arial"/>
                <w:sz w:val="22"/>
                <w:szCs w:val="22"/>
              </w:rPr>
              <w:t xml:space="preserve">Improving nutrition in Singapore through partnerships with the Public, Private and People sectors </w:t>
            </w:r>
          </w:p>
        </w:tc>
      </w:tr>
      <w:tr w:rsidR="00F407AD" w:rsidRPr="00673D4A" w14:paraId="478B2E84" w14:textId="77777777" w:rsidTr="00BE682F">
        <w:trPr>
          <w:trHeight w:val="7663"/>
        </w:trPr>
        <w:tc>
          <w:tcPr>
            <w:tcW w:w="8640" w:type="dxa"/>
          </w:tcPr>
          <w:p w14:paraId="3732463D" w14:textId="77777777" w:rsidR="00950710" w:rsidRPr="00673D4A" w:rsidRDefault="00950710" w:rsidP="00950710">
            <w:pPr>
              <w:jc w:val="both"/>
              <w:rPr>
                <w:rFonts w:ascii="Arial" w:hAnsi="Arial" w:cs="Arial"/>
                <w:sz w:val="22"/>
                <w:szCs w:val="22"/>
              </w:rPr>
            </w:pPr>
            <w:r w:rsidRPr="00673D4A">
              <w:rPr>
                <w:rFonts w:ascii="Arial" w:hAnsi="Arial" w:cs="Arial"/>
                <w:sz w:val="22"/>
                <w:szCs w:val="22"/>
              </w:rPr>
              <w:t xml:space="preserve">Approximately 50% of the burden of disease in Singapore was caused by non-communicable diseases (NCDs) such as heart diseases, stroke and diabetes (Singapore Burden of Disease Study 2010). Many of the NCDs have common modifiable lifestyle risk factors such as unhealthy diets. According to the National Nutrition Survey 2010, 60% of Singaporeans consumed more calories than recommended. Diet quality had also declined, with insufficient fruit and vegetable and wholegrain intake, and high intake of saturated fat.  </w:t>
            </w:r>
          </w:p>
          <w:p w14:paraId="1EBD58AC" w14:textId="77777777" w:rsidR="00950710" w:rsidRPr="00673D4A" w:rsidRDefault="00950710" w:rsidP="00950710">
            <w:pPr>
              <w:jc w:val="both"/>
              <w:rPr>
                <w:rFonts w:ascii="Arial" w:hAnsi="Arial" w:cs="Arial"/>
                <w:sz w:val="22"/>
                <w:szCs w:val="22"/>
              </w:rPr>
            </w:pPr>
          </w:p>
          <w:p w14:paraId="60FF6F09" w14:textId="77777777" w:rsidR="00950710" w:rsidRPr="00673D4A" w:rsidRDefault="00950710" w:rsidP="00950710">
            <w:pPr>
              <w:jc w:val="both"/>
              <w:rPr>
                <w:rFonts w:ascii="Arial" w:hAnsi="Arial" w:cs="Arial"/>
                <w:sz w:val="22"/>
                <w:szCs w:val="22"/>
              </w:rPr>
            </w:pPr>
            <w:r w:rsidRPr="00673D4A">
              <w:rPr>
                <w:rFonts w:ascii="Arial" w:hAnsi="Arial" w:cs="Arial"/>
                <w:sz w:val="22"/>
                <w:szCs w:val="22"/>
              </w:rPr>
              <w:t xml:space="preserve">To address the issue of poor diet quality and excess quantity, the Health Promotion Board (HPB), Singapore adopted a comprehensive Food Strategy, working across the value chain with manufacturers, retailers, food services and consumers, to make healthier food more accessible and attractive, so Singaporeans could choose healthier options effortlessly. Through close partnerships with the Public, Private and People (PPP) sectors, HPB drove the demand for and supply of healthier food with </w:t>
            </w:r>
            <w:proofErr w:type="spellStart"/>
            <w:r w:rsidRPr="00673D4A">
              <w:rPr>
                <w:rFonts w:ascii="Arial" w:hAnsi="Arial" w:cs="Arial"/>
                <w:sz w:val="22"/>
                <w:szCs w:val="22"/>
              </w:rPr>
              <w:t>programme</w:t>
            </w:r>
            <w:proofErr w:type="spellEnd"/>
            <w:r w:rsidRPr="00673D4A">
              <w:rPr>
                <w:rFonts w:ascii="Arial" w:hAnsi="Arial" w:cs="Arial"/>
                <w:sz w:val="22"/>
                <w:szCs w:val="22"/>
              </w:rPr>
              <w:t xml:space="preserve"> and policy interventions, while ramping up efforts in public education and promotion to change the social norm for healthy living.</w:t>
            </w:r>
          </w:p>
          <w:p w14:paraId="4253A115" w14:textId="77777777" w:rsidR="00950710" w:rsidRPr="00673D4A" w:rsidRDefault="00950710" w:rsidP="00950710">
            <w:pPr>
              <w:jc w:val="both"/>
              <w:rPr>
                <w:rFonts w:ascii="Arial" w:hAnsi="Arial" w:cs="Arial"/>
                <w:sz w:val="22"/>
                <w:szCs w:val="22"/>
              </w:rPr>
            </w:pPr>
          </w:p>
          <w:p w14:paraId="1D57834A" w14:textId="77777777" w:rsidR="00950710" w:rsidRPr="00673D4A" w:rsidRDefault="00950710" w:rsidP="00950710">
            <w:pPr>
              <w:jc w:val="both"/>
              <w:rPr>
                <w:rFonts w:ascii="Arial" w:hAnsi="Arial" w:cs="Arial"/>
                <w:sz w:val="22"/>
                <w:szCs w:val="22"/>
              </w:rPr>
            </w:pPr>
            <w:r w:rsidRPr="00673D4A">
              <w:rPr>
                <w:rFonts w:ascii="Arial" w:hAnsi="Arial" w:cs="Arial"/>
                <w:sz w:val="22"/>
                <w:szCs w:val="22"/>
              </w:rPr>
              <w:t xml:space="preserve">HPB’s PPP Partnership efforts have increased the market share of healthier food products from 15% in 2012 to 23% in 2017 (AC Nielsen, 2017), and brought about changes in the private sector such as a reduction in the median sugar level of packaged beverages, from 9.5% in 2007 to 6.5% in 2016 (Mintel, 2016), pointing the way forward for a whole-of-society partnership model as an innovative and sustainable way to achieve impact in influencing health </w:t>
            </w:r>
            <w:proofErr w:type="spellStart"/>
            <w:r w:rsidRPr="00673D4A">
              <w:rPr>
                <w:rFonts w:ascii="Arial" w:hAnsi="Arial" w:cs="Arial"/>
                <w:sz w:val="22"/>
                <w:szCs w:val="22"/>
              </w:rPr>
              <w:t>behaviours</w:t>
            </w:r>
            <w:proofErr w:type="spellEnd"/>
            <w:r w:rsidRPr="00673D4A">
              <w:rPr>
                <w:rFonts w:ascii="Arial" w:hAnsi="Arial" w:cs="Arial"/>
                <w:sz w:val="22"/>
                <w:szCs w:val="22"/>
              </w:rPr>
              <w:t xml:space="preserve"> at the population level. </w:t>
            </w:r>
          </w:p>
          <w:p w14:paraId="569D28C8" w14:textId="77777777" w:rsidR="00F407AD" w:rsidRPr="00673D4A" w:rsidRDefault="00F407AD" w:rsidP="00BE682F">
            <w:pPr>
              <w:jc w:val="both"/>
              <w:rPr>
                <w:rFonts w:ascii="Arial" w:hAnsi="Arial" w:cs="Arial"/>
                <w:b/>
                <w:sz w:val="22"/>
                <w:szCs w:val="22"/>
              </w:rPr>
            </w:pPr>
          </w:p>
          <w:p w14:paraId="0F2BE39E" w14:textId="77777777" w:rsidR="00950710" w:rsidRPr="00673D4A" w:rsidRDefault="00950710" w:rsidP="00950710">
            <w:pPr>
              <w:jc w:val="both"/>
              <w:rPr>
                <w:rFonts w:ascii="Arial" w:hAnsi="Arial" w:cs="Arial"/>
                <w:b/>
                <w:sz w:val="22"/>
                <w:szCs w:val="22"/>
              </w:rPr>
            </w:pPr>
            <w:r w:rsidRPr="00673D4A">
              <w:rPr>
                <w:rFonts w:ascii="Arial" w:hAnsi="Arial" w:cs="Arial"/>
                <w:b/>
                <w:sz w:val="22"/>
                <w:szCs w:val="22"/>
              </w:rPr>
              <w:t>General Objective</w:t>
            </w:r>
          </w:p>
          <w:p w14:paraId="21C7E091" w14:textId="77777777" w:rsidR="00950710" w:rsidRPr="00673D4A" w:rsidRDefault="00950710" w:rsidP="00950710">
            <w:pPr>
              <w:jc w:val="both"/>
              <w:rPr>
                <w:rFonts w:ascii="Arial" w:hAnsi="Arial" w:cs="Arial"/>
                <w:sz w:val="22"/>
                <w:szCs w:val="22"/>
              </w:rPr>
            </w:pPr>
            <w:r w:rsidRPr="00673D4A">
              <w:rPr>
                <w:rFonts w:ascii="Arial" w:hAnsi="Arial" w:cs="Arial"/>
                <w:sz w:val="22"/>
                <w:szCs w:val="22"/>
              </w:rPr>
              <w:t xml:space="preserve">To share Singapore’s experience and learning points on leveraging PPP partnerships to expand and sustain efforts in health promotion, and generate discussions on the possibility of adapting such models for other contexts. </w:t>
            </w:r>
          </w:p>
          <w:p w14:paraId="0BFEEF0C" w14:textId="77777777" w:rsidR="00950710" w:rsidRPr="00673D4A" w:rsidRDefault="00950710" w:rsidP="00950710">
            <w:pPr>
              <w:jc w:val="both"/>
              <w:rPr>
                <w:rFonts w:ascii="Arial" w:hAnsi="Arial" w:cs="Arial"/>
                <w:sz w:val="22"/>
                <w:szCs w:val="22"/>
              </w:rPr>
            </w:pPr>
          </w:p>
          <w:p w14:paraId="4E256711" w14:textId="77777777" w:rsidR="00950710" w:rsidRPr="00673D4A" w:rsidRDefault="00950710" w:rsidP="00950710">
            <w:pPr>
              <w:jc w:val="both"/>
              <w:rPr>
                <w:rFonts w:ascii="Arial" w:hAnsi="Arial" w:cs="Arial"/>
                <w:b/>
                <w:sz w:val="22"/>
                <w:szCs w:val="22"/>
              </w:rPr>
            </w:pPr>
            <w:r w:rsidRPr="00673D4A">
              <w:rPr>
                <w:rFonts w:ascii="Arial" w:hAnsi="Arial" w:cs="Arial"/>
                <w:b/>
                <w:sz w:val="22"/>
                <w:szCs w:val="22"/>
              </w:rPr>
              <w:t>Proposed format of the session</w:t>
            </w:r>
          </w:p>
          <w:p w14:paraId="0BEFCA80" w14:textId="77777777" w:rsidR="00950710" w:rsidRPr="00673D4A" w:rsidRDefault="00950710" w:rsidP="00950710">
            <w:pPr>
              <w:jc w:val="both"/>
              <w:rPr>
                <w:rFonts w:ascii="Arial" w:hAnsi="Arial" w:cs="Arial"/>
                <w:sz w:val="22"/>
                <w:szCs w:val="22"/>
              </w:rPr>
            </w:pPr>
            <w:r w:rsidRPr="00673D4A">
              <w:rPr>
                <w:rFonts w:ascii="Arial" w:hAnsi="Arial" w:cs="Arial"/>
                <w:sz w:val="22"/>
                <w:szCs w:val="22"/>
              </w:rPr>
              <w:t xml:space="preserve">Roundtable discussion </w:t>
            </w:r>
          </w:p>
          <w:p w14:paraId="09384361" w14:textId="77777777" w:rsidR="00950710" w:rsidRPr="00673D4A" w:rsidRDefault="00950710" w:rsidP="00950710">
            <w:pPr>
              <w:jc w:val="both"/>
              <w:rPr>
                <w:rFonts w:ascii="Arial" w:hAnsi="Arial" w:cs="Arial"/>
                <w:b/>
                <w:sz w:val="22"/>
                <w:szCs w:val="22"/>
              </w:rPr>
            </w:pPr>
          </w:p>
          <w:p w14:paraId="4E7DA087" w14:textId="77777777" w:rsidR="00950710" w:rsidRPr="00673D4A" w:rsidRDefault="00950710" w:rsidP="00950710">
            <w:pPr>
              <w:jc w:val="both"/>
              <w:rPr>
                <w:rFonts w:ascii="Arial" w:hAnsi="Arial" w:cs="Arial"/>
                <w:b/>
                <w:sz w:val="22"/>
                <w:szCs w:val="22"/>
              </w:rPr>
            </w:pPr>
            <w:r w:rsidRPr="00673D4A">
              <w:rPr>
                <w:rFonts w:ascii="Arial" w:hAnsi="Arial" w:cs="Arial"/>
                <w:b/>
                <w:sz w:val="22"/>
                <w:szCs w:val="22"/>
              </w:rPr>
              <w:t>Conference theme and/or subthemes addressed</w:t>
            </w:r>
          </w:p>
          <w:p w14:paraId="44842F0A" w14:textId="77777777" w:rsidR="00950710" w:rsidRPr="00673D4A" w:rsidRDefault="00950710" w:rsidP="00950710">
            <w:pPr>
              <w:jc w:val="both"/>
              <w:rPr>
                <w:rFonts w:ascii="Arial" w:hAnsi="Arial" w:cs="Arial"/>
                <w:sz w:val="22"/>
                <w:szCs w:val="22"/>
              </w:rPr>
            </w:pPr>
            <w:r w:rsidRPr="00673D4A">
              <w:rPr>
                <w:rFonts w:ascii="Arial" w:hAnsi="Arial" w:cs="Arial"/>
                <w:sz w:val="22"/>
                <w:szCs w:val="22"/>
              </w:rPr>
              <w:t>Healthy Equity; Inclusive Habitats</w:t>
            </w:r>
          </w:p>
          <w:p w14:paraId="1E0D5DDD" w14:textId="77777777" w:rsidR="00950710" w:rsidRPr="00673D4A" w:rsidRDefault="00950710" w:rsidP="00950710">
            <w:pPr>
              <w:jc w:val="both"/>
              <w:rPr>
                <w:rFonts w:ascii="Arial" w:hAnsi="Arial" w:cs="Arial"/>
                <w:b/>
                <w:sz w:val="22"/>
                <w:szCs w:val="22"/>
              </w:rPr>
            </w:pPr>
          </w:p>
          <w:p w14:paraId="33833581" w14:textId="77777777" w:rsidR="00F407AD" w:rsidRPr="00673D4A" w:rsidRDefault="00F407AD" w:rsidP="00BE682F">
            <w:pPr>
              <w:jc w:val="both"/>
              <w:rPr>
                <w:rFonts w:ascii="Arial" w:hAnsi="Arial" w:cs="Arial"/>
                <w:b/>
                <w:sz w:val="22"/>
                <w:szCs w:val="22"/>
              </w:rPr>
            </w:pPr>
          </w:p>
          <w:p w14:paraId="4BA86ECE" w14:textId="77777777" w:rsidR="00F407AD" w:rsidRPr="00673D4A" w:rsidRDefault="00F407AD" w:rsidP="00BE682F">
            <w:pPr>
              <w:jc w:val="both"/>
              <w:rPr>
                <w:rFonts w:ascii="Arial" w:hAnsi="Arial" w:cs="Arial"/>
                <w:b/>
                <w:sz w:val="22"/>
                <w:szCs w:val="22"/>
              </w:rPr>
            </w:pPr>
          </w:p>
          <w:p w14:paraId="17AF9F9E" w14:textId="77777777" w:rsidR="00F407AD" w:rsidRPr="00673D4A" w:rsidRDefault="00F407AD" w:rsidP="00BE682F">
            <w:pPr>
              <w:jc w:val="both"/>
              <w:rPr>
                <w:rFonts w:ascii="Arial" w:hAnsi="Arial" w:cs="Arial"/>
                <w:bCs/>
                <w:sz w:val="22"/>
                <w:szCs w:val="22"/>
              </w:rPr>
            </w:pPr>
          </w:p>
        </w:tc>
      </w:tr>
    </w:tbl>
    <w:p w14:paraId="64E0C4A4" w14:textId="327DC818" w:rsidR="00F407AD" w:rsidRPr="00673D4A" w:rsidRDefault="00F407AD" w:rsidP="004C45A1">
      <w:pPr>
        <w:rPr>
          <w:rFonts w:ascii="Arial" w:hAnsi="Arial"/>
          <w:sz w:val="22"/>
          <w:szCs w:val="22"/>
        </w:rPr>
      </w:pPr>
    </w:p>
    <w:p w14:paraId="1E721F0E" w14:textId="77777777" w:rsidR="00F407AD" w:rsidRPr="00673D4A" w:rsidRDefault="00F407AD">
      <w:pPr>
        <w:rPr>
          <w:rFonts w:ascii="Arial" w:hAnsi="Arial"/>
          <w:sz w:val="22"/>
          <w:szCs w:val="22"/>
        </w:rPr>
      </w:pPr>
      <w:r w:rsidRPr="00673D4A">
        <w:rPr>
          <w:rFonts w:ascii="Arial" w:hAnsi="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673D4A" w:rsidRPr="00673D4A" w14:paraId="37D50E4E" w14:textId="77777777" w:rsidTr="00BE682F">
        <w:tc>
          <w:tcPr>
            <w:tcW w:w="8640" w:type="dxa"/>
          </w:tcPr>
          <w:p w14:paraId="13D6F080" w14:textId="7B85719F" w:rsidR="00F407AD" w:rsidRPr="00673D4A" w:rsidRDefault="00CF4157" w:rsidP="00BE682F">
            <w:pPr>
              <w:jc w:val="both"/>
              <w:rPr>
                <w:rFonts w:ascii="Arial" w:hAnsi="Arial"/>
                <w:sz w:val="22"/>
                <w:szCs w:val="22"/>
              </w:rPr>
            </w:pPr>
            <w:r w:rsidRPr="00673D4A">
              <w:rPr>
                <w:rFonts w:ascii="Arial" w:hAnsi="Arial" w:cs="Arial"/>
                <w:b/>
                <w:sz w:val="22"/>
                <w:szCs w:val="22"/>
              </w:rPr>
              <w:lastRenderedPageBreak/>
              <w:t>Title of Presentation 4</w:t>
            </w:r>
            <w:r w:rsidR="00F407AD" w:rsidRPr="00673D4A">
              <w:rPr>
                <w:rFonts w:ascii="Arial" w:hAnsi="Arial" w:cs="Arial"/>
                <w:b/>
                <w:sz w:val="22"/>
                <w:szCs w:val="22"/>
              </w:rPr>
              <w:t xml:space="preserve"> </w:t>
            </w:r>
            <w:r w:rsidR="00F407AD" w:rsidRPr="00673D4A">
              <w:rPr>
                <w:rFonts w:ascii="Arial" w:hAnsi="Arial" w:cs="Arial"/>
                <w:sz w:val="22"/>
                <w:szCs w:val="22"/>
              </w:rPr>
              <w:t>(Sentence case)</w:t>
            </w:r>
            <w:r w:rsidR="00B10ED7" w:rsidRPr="00673D4A">
              <w:rPr>
                <w:rFonts w:ascii="Arial" w:hAnsi="Arial" w:cs="Arial"/>
                <w:sz w:val="22"/>
                <w:szCs w:val="22"/>
              </w:rPr>
              <w:t xml:space="preserve">: </w:t>
            </w:r>
            <w:r w:rsidR="007A0D50" w:rsidRPr="00673D4A">
              <w:rPr>
                <w:rFonts w:ascii="Arial" w:hAnsi="Arial" w:cs="Arial"/>
                <w:sz w:val="22"/>
                <w:szCs w:val="22"/>
              </w:rPr>
              <w:t>Thai Health Promotion Foundation: Why and How?</w:t>
            </w:r>
          </w:p>
        </w:tc>
      </w:tr>
      <w:tr w:rsidR="00F407AD" w:rsidRPr="00673D4A" w14:paraId="294F36F2" w14:textId="77777777" w:rsidTr="00BE682F">
        <w:trPr>
          <w:trHeight w:val="7663"/>
        </w:trPr>
        <w:tc>
          <w:tcPr>
            <w:tcW w:w="8640" w:type="dxa"/>
          </w:tcPr>
          <w:p w14:paraId="03929BD5" w14:textId="77777777" w:rsidR="00F407AD" w:rsidRPr="00673D4A" w:rsidRDefault="00F407AD" w:rsidP="00BE682F">
            <w:pPr>
              <w:jc w:val="both"/>
              <w:rPr>
                <w:rFonts w:ascii="Arial" w:hAnsi="Arial" w:cs="Arial"/>
                <w:b/>
                <w:sz w:val="22"/>
                <w:szCs w:val="22"/>
              </w:rPr>
            </w:pPr>
          </w:p>
          <w:p w14:paraId="2C48F811" w14:textId="77777777" w:rsidR="007A0D50" w:rsidRPr="00673D4A" w:rsidRDefault="007A0D50" w:rsidP="007A0D50">
            <w:pPr>
              <w:shd w:val="clear" w:color="auto" w:fill="FFFFFF"/>
              <w:jc w:val="both"/>
              <w:rPr>
                <w:rFonts w:ascii="Arial" w:hAnsi="Arial" w:cs="Arial"/>
                <w:sz w:val="22"/>
                <w:szCs w:val="22"/>
              </w:rPr>
            </w:pPr>
            <w:r w:rsidRPr="00673D4A">
              <w:rPr>
                <w:rFonts w:ascii="Arial" w:hAnsi="Arial" w:cs="Arial"/>
                <w:sz w:val="22"/>
                <w:szCs w:val="22"/>
              </w:rPr>
              <w:t>A Health Promotion Fund, whose main purposes are to enable healthy lifestyles, to decelerate rise of health care costs due to non-communicable diseases as well as to reduce health inequalities.  Thai Health Promotion Foundation (“</w:t>
            </w:r>
            <w:proofErr w:type="spellStart"/>
            <w:r w:rsidRPr="00673D4A">
              <w:rPr>
                <w:rFonts w:ascii="Arial" w:hAnsi="Arial" w:cs="Arial"/>
                <w:sz w:val="22"/>
                <w:szCs w:val="22"/>
              </w:rPr>
              <w:t>ThaiHealth</w:t>
            </w:r>
            <w:proofErr w:type="spellEnd"/>
            <w:r w:rsidRPr="00673D4A">
              <w:rPr>
                <w:rFonts w:ascii="Arial" w:hAnsi="Arial" w:cs="Arial"/>
                <w:sz w:val="22"/>
                <w:szCs w:val="22"/>
              </w:rPr>
              <w:t>”) is Thailand’s health promotion fund set up in 2001, derived its income from 2% surcharged excise tax on tobacco and alcohol, making it a model for innovative and sustainable health financing for health promotion.</w:t>
            </w:r>
          </w:p>
          <w:p w14:paraId="0661642B" w14:textId="77777777" w:rsidR="007A0D50" w:rsidRPr="00673D4A" w:rsidRDefault="007A0D50" w:rsidP="007A0D50">
            <w:pPr>
              <w:shd w:val="clear" w:color="auto" w:fill="FFFFFF"/>
              <w:jc w:val="both"/>
              <w:rPr>
                <w:rFonts w:ascii="Arial" w:hAnsi="Arial" w:cs="Arial"/>
                <w:sz w:val="22"/>
                <w:szCs w:val="22"/>
              </w:rPr>
            </w:pPr>
          </w:p>
          <w:p w14:paraId="614C7DBE" w14:textId="77777777" w:rsidR="007A0D50" w:rsidRPr="00673D4A" w:rsidRDefault="007A0D50" w:rsidP="007A0D50">
            <w:pPr>
              <w:shd w:val="clear" w:color="auto" w:fill="FFFFFF"/>
              <w:jc w:val="both"/>
              <w:rPr>
                <w:rFonts w:ascii="Arial" w:hAnsi="Arial" w:cs="Arial"/>
                <w:sz w:val="22"/>
                <w:szCs w:val="22"/>
              </w:rPr>
            </w:pPr>
            <w:proofErr w:type="spellStart"/>
            <w:r w:rsidRPr="00673D4A">
              <w:rPr>
                <w:rFonts w:ascii="Arial" w:hAnsi="Arial" w:cs="Arial"/>
                <w:sz w:val="22"/>
                <w:szCs w:val="22"/>
              </w:rPr>
              <w:t>ThaiHealth</w:t>
            </w:r>
            <w:proofErr w:type="spellEnd"/>
            <w:r w:rsidRPr="00673D4A">
              <w:rPr>
                <w:rFonts w:ascii="Arial" w:hAnsi="Arial" w:cs="Arial"/>
                <w:sz w:val="22"/>
                <w:szCs w:val="22"/>
              </w:rPr>
              <w:t xml:space="preserve"> has experienced both challenges and successes during the founding phase (i.e. the issue of Why) and on implementing innovative financing mechanism for health promotion almost two decades (i.e. the issue of How).  It has demonstrated that there is a possibility of effective sustainable funding for health promotion and social development.  However, in the SDG-era, there are many challenges for the organization to overcome in order to be impactful and stay relevant. </w:t>
            </w:r>
          </w:p>
          <w:p w14:paraId="4E80BDBC" w14:textId="77777777" w:rsidR="007A0D50" w:rsidRPr="00673D4A" w:rsidRDefault="007A0D50" w:rsidP="007A0D50">
            <w:pPr>
              <w:shd w:val="clear" w:color="auto" w:fill="FFFFFF"/>
              <w:jc w:val="both"/>
              <w:rPr>
                <w:rFonts w:ascii="Arial" w:hAnsi="Arial" w:cs="Arial"/>
                <w:sz w:val="22"/>
                <w:szCs w:val="22"/>
              </w:rPr>
            </w:pPr>
          </w:p>
          <w:p w14:paraId="3BFBBBB9" w14:textId="77777777" w:rsidR="007A0D50" w:rsidRPr="00673D4A" w:rsidRDefault="007A0D50" w:rsidP="007A0D50">
            <w:pPr>
              <w:shd w:val="clear" w:color="auto" w:fill="FFFFFF"/>
              <w:jc w:val="both"/>
              <w:rPr>
                <w:rFonts w:ascii="Arial" w:hAnsi="Arial" w:cs="Arial"/>
                <w:sz w:val="22"/>
                <w:szCs w:val="22"/>
              </w:rPr>
            </w:pPr>
            <w:r w:rsidRPr="00673D4A">
              <w:rPr>
                <w:rFonts w:ascii="Arial" w:hAnsi="Arial" w:cs="Arial"/>
                <w:sz w:val="22"/>
                <w:szCs w:val="22"/>
              </w:rPr>
              <w:t xml:space="preserve">In this symposium, we would like to share </w:t>
            </w:r>
            <w:proofErr w:type="spellStart"/>
            <w:r w:rsidRPr="00673D4A">
              <w:rPr>
                <w:rFonts w:ascii="Arial" w:hAnsi="Arial" w:cs="Arial"/>
                <w:sz w:val="22"/>
                <w:szCs w:val="22"/>
              </w:rPr>
              <w:t>ThaiHealth’s</w:t>
            </w:r>
            <w:proofErr w:type="spellEnd"/>
            <w:r w:rsidRPr="00673D4A">
              <w:rPr>
                <w:rFonts w:ascii="Arial" w:hAnsi="Arial" w:cs="Arial"/>
                <w:sz w:val="22"/>
                <w:szCs w:val="22"/>
              </w:rPr>
              <w:t xml:space="preserve"> best practices, lessons learned and challenges. At the same time, we would like to learn from and discuss with all participated health promotion leaders about the current situations of health promotion fund especially the way forward for sustainable financing mechanism. </w:t>
            </w:r>
          </w:p>
          <w:p w14:paraId="29E0B4B1" w14:textId="77777777" w:rsidR="007A0D50" w:rsidRPr="00673D4A" w:rsidRDefault="007A0D50" w:rsidP="00BE682F">
            <w:pPr>
              <w:jc w:val="both"/>
              <w:rPr>
                <w:rFonts w:ascii="Arial" w:hAnsi="Arial" w:cs="Arial"/>
                <w:b/>
                <w:bCs/>
                <w:sz w:val="22"/>
                <w:szCs w:val="22"/>
              </w:rPr>
            </w:pPr>
          </w:p>
          <w:p w14:paraId="2A70F786" w14:textId="77777777" w:rsidR="00F407AD" w:rsidRPr="00673D4A" w:rsidRDefault="00F407AD" w:rsidP="00BE682F">
            <w:pPr>
              <w:jc w:val="both"/>
              <w:rPr>
                <w:rFonts w:ascii="Arial" w:hAnsi="Arial" w:cs="Arial"/>
                <w:b/>
                <w:bCs/>
                <w:sz w:val="22"/>
                <w:szCs w:val="22"/>
              </w:rPr>
            </w:pPr>
            <w:r w:rsidRPr="00673D4A">
              <w:rPr>
                <w:rFonts w:ascii="Arial" w:hAnsi="Arial" w:cs="Arial"/>
                <w:b/>
                <w:bCs/>
                <w:sz w:val="22"/>
                <w:szCs w:val="22"/>
              </w:rPr>
              <w:t>General Objective</w:t>
            </w:r>
          </w:p>
          <w:p w14:paraId="58726F86" w14:textId="77777777" w:rsidR="007A0D50" w:rsidRPr="00673D4A" w:rsidRDefault="007A0D50" w:rsidP="007A0D50">
            <w:pPr>
              <w:ind w:left="720"/>
              <w:jc w:val="both"/>
              <w:rPr>
                <w:rFonts w:ascii="Arial" w:hAnsi="Arial" w:cs="Arial"/>
                <w:sz w:val="22"/>
                <w:szCs w:val="22"/>
              </w:rPr>
            </w:pPr>
            <w:r w:rsidRPr="00673D4A">
              <w:rPr>
                <w:rFonts w:ascii="Arial" w:hAnsi="Arial" w:cs="Arial"/>
                <w:sz w:val="22"/>
                <w:szCs w:val="22"/>
              </w:rPr>
              <w:t xml:space="preserve">-       To provide the review on how </w:t>
            </w:r>
            <w:proofErr w:type="spellStart"/>
            <w:r w:rsidRPr="00673D4A">
              <w:rPr>
                <w:rFonts w:ascii="Arial" w:hAnsi="Arial" w:cs="Arial"/>
                <w:sz w:val="22"/>
                <w:szCs w:val="22"/>
              </w:rPr>
              <w:t>ThaiHealth</w:t>
            </w:r>
            <w:proofErr w:type="spellEnd"/>
            <w:r w:rsidRPr="00673D4A">
              <w:rPr>
                <w:rFonts w:ascii="Arial" w:hAnsi="Arial" w:cs="Arial"/>
                <w:sz w:val="22"/>
                <w:szCs w:val="22"/>
              </w:rPr>
              <w:t xml:space="preserve"> was established and what are the options during that time</w:t>
            </w:r>
          </w:p>
          <w:p w14:paraId="392D3F92" w14:textId="77777777" w:rsidR="007A0D50" w:rsidRPr="00673D4A" w:rsidRDefault="007A0D50" w:rsidP="007A0D50">
            <w:pPr>
              <w:ind w:left="720"/>
              <w:jc w:val="both"/>
              <w:rPr>
                <w:rFonts w:ascii="Arial" w:hAnsi="Arial" w:cs="Arial"/>
                <w:sz w:val="22"/>
                <w:szCs w:val="22"/>
              </w:rPr>
            </w:pPr>
            <w:r w:rsidRPr="00673D4A">
              <w:rPr>
                <w:rFonts w:ascii="Arial" w:hAnsi="Arial" w:cs="Arial"/>
                <w:sz w:val="22"/>
                <w:szCs w:val="22"/>
              </w:rPr>
              <w:t>-       To look back at the challenges and how to overcome in the past decades</w:t>
            </w:r>
          </w:p>
          <w:p w14:paraId="17ECA05A" w14:textId="77777777" w:rsidR="007A0D50" w:rsidRPr="00673D4A" w:rsidRDefault="007A0D50" w:rsidP="007A0D50">
            <w:pPr>
              <w:ind w:left="720"/>
              <w:jc w:val="both"/>
              <w:rPr>
                <w:rFonts w:ascii="Arial" w:hAnsi="Arial" w:cs="Arial"/>
                <w:sz w:val="22"/>
                <w:szCs w:val="22"/>
              </w:rPr>
            </w:pPr>
            <w:r w:rsidRPr="00673D4A">
              <w:rPr>
                <w:rFonts w:ascii="Arial" w:hAnsi="Arial" w:cs="Arial"/>
                <w:sz w:val="22"/>
                <w:szCs w:val="22"/>
              </w:rPr>
              <w:t xml:space="preserve">-       To provide how </w:t>
            </w:r>
            <w:proofErr w:type="spellStart"/>
            <w:r w:rsidRPr="00673D4A">
              <w:rPr>
                <w:rFonts w:ascii="Arial" w:hAnsi="Arial" w:cs="Arial"/>
                <w:sz w:val="22"/>
                <w:szCs w:val="22"/>
              </w:rPr>
              <w:t>ThaiHealth</w:t>
            </w:r>
            <w:proofErr w:type="spellEnd"/>
            <w:r w:rsidRPr="00673D4A">
              <w:rPr>
                <w:rFonts w:ascii="Arial" w:hAnsi="Arial" w:cs="Arial"/>
                <w:sz w:val="22"/>
                <w:szCs w:val="22"/>
              </w:rPr>
              <w:t xml:space="preserve"> mitigate the risk </w:t>
            </w:r>
          </w:p>
          <w:p w14:paraId="6BD06E24" w14:textId="77777777" w:rsidR="007A0D50" w:rsidRPr="00673D4A" w:rsidRDefault="007A0D50" w:rsidP="007A0D50">
            <w:pPr>
              <w:ind w:left="720"/>
              <w:jc w:val="both"/>
              <w:rPr>
                <w:rFonts w:ascii="Arial" w:hAnsi="Arial" w:cs="Arial"/>
                <w:sz w:val="22"/>
                <w:szCs w:val="22"/>
              </w:rPr>
            </w:pPr>
            <w:r w:rsidRPr="00673D4A">
              <w:rPr>
                <w:rFonts w:ascii="Arial" w:hAnsi="Arial" w:cs="Arial"/>
                <w:sz w:val="22"/>
                <w:szCs w:val="22"/>
              </w:rPr>
              <w:t>-       To share current challenges and to provide the way forward for sustainable financing mechanism  </w:t>
            </w:r>
          </w:p>
          <w:p w14:paraId="361E45ED" w14:textId="77777777" w:rsidR="007A0D50" w:rsidRPr="00673D4A" w:rsidRDefault="007A0D50" w:rsidP="007A0D50">
            <w:pPr>
              <w:jc w:val="both"/>
              <w:rPr>
                <w:rFonts w:ascii="Arial" w:hAnsi="Arial"/>
                <w:sz w:val="22"/>
                <w:szCs w:val="22"/>
              </w:rPr>
            </w:pPr>
            <w:r w:rsidRPr="00673D4A">
              <w:rPr>
                <w:rFonts w:ascii="Arial" w:hAnsi="Arial" w:cs="Arial"/>
                <w:sz w:val="22"/>
                <w:szCs w:val="22"/>
              </w:rPr>
              <w:t> </w:t>
            </w:r>
          </w:p>
          <w:p w14:paraId="5D2A6308" w14:textId="77777777" w:rsidR="00F407AD" w:rsidRPr="00673D4A" w:rsidRDefault="00F407AD" w:rsidP="00BE682F">
            <w:pPr>
              <w:jc w:val="both"/>
              <w:rPr>
                <w:rFonts w:ascii="Arial" w:hAnsi="Arial" w:cs="Arial"/>
                <w:sz w:val="22"/>
                <w:szCs w:val="22"/>
              </w:rPr>
            </w:pPr>
          </w:p>
          <w:p w14:paraId="3E262217" w14:textId="77777777" w:rsidR="00F407AD" w:rsidRPr="00673D4A" w:rsidRDefault="00F407AD" w:rsidP="00BE682F">
            <w:pPr>
              <w:jc w:val="both"/>
              <w:rPr>
                <w:rFonts w:ascii="Arial" w:hAnsi="Arial" w:cs="Arial"/>
                <w:b/>
                <w:sz w:val="22"/>
                <w:szCs w:val="22"/>
              </w:rPr>
            </w:pPr>
            <w:r w:rsidRPr="00673D4A">
              <w:rPr>
                <w:rFonts w:ascii="Arial" w:hAnsi="Arial" w:cs="Arial"/>
                <w:b/>
                <w:sz w:val="22"/>
                <w:szCs w:val="22"/>
              </w:rPr>
              <w:t>Proposed format of the session</w:t>
            </w:r>
          </w:p>
          <w:p w14:paraId="57F6B3AE" w14:textId="77777777" w:rsidR="00F407AD" w:rsidRPr="00673D4A" w:rsidRDefault="00F407AD" w:rsidP="00BE682F">
            <w:pPr>
              <w:jc w:val="both"/>
              <w:rPr>
                <w:rFonts w:ascii="Arial" w:hAnsi="Arial" w:cs="Arial"/>
                <w:b/>
                <w:sz w:val="22"/>
                <w:szCs w:val="22"/>
              </w:rPr>
            </w:pPr>
          </w:p>
          <w:p w14:paraId="2E58068F" w14:textId="0347418B" w:rsidR="00F407AD" w:rsidRPr="00673D4A" w:rsidRDefault="007971B6" w:rsidP="00BE682F">
            <w:pPr>
              <w:jc w:val="both"/>
              <w:rPr>
                <w:rFonts w:ascii="Arial" w:hAnsi="Arial" w:cs="Arial"/>
                <w:bCs/>
                <w:sz w:val="22"/>
                <w:szCs w:val="22"/>
              </w:rPr>
            </w:pPr>
            <w:r w:rsidRPr="00673D4A">
              <w:rPr>
                <w:rFonts w:ascii="Arial" w:hAnsi="Arial" w:cs="Arial"/>
                <w:bCs/>
                <w:sz w:val="22"/>
                <w:szCs w:val="22"/>
              </w:rPr>
              <w:t>RoundTable discussion</w:t>
            </w:r>
          </w:p>
          <w:p w14:paraId="02006875" w14:textId="77777777" w:rsidR="00F407AD" w:rsidRPr="00673D4A" w:rsidRDefault="00F407AD" w:rsidP="00BE682F">
            <w:pPr>
              <w:jc w:val="both"/>
              <w:rPr>
                <w:rFonts w:ascii="Arial" w:hAnsi="Arial" w:cs="Arial"/>
                <w:b/>
                <w:sz w:val="22"/>
                <w:szCs w:val="22"/>
              </w:rPr>
            </w:pPr>
          </w:p>
          <w:p w14:paraId="7EA3AB74" w14:textId="48B9F1AB" w:rsidR="00F407AD" w:rsidRPr="00673D4A" w:rsidRDefault="00F407AD" w:rsidP="00BE682F">
            <w:pPr>
              <w:jc w:val="both"/>
              <w:rPr>
                <w:rFonts w:ascii="Arial" w:hAnsi="Arial" w:cs="Arial"/>
                <w:b/>
                <w:sz w:val="22"/>
                <w:szCs w:val="22"/>
              </w:rPr>
            </w:pPr>
            <w:r w:rsidRPr="00673D4A">
              <w:rPr>
                <w:rFonts w:ascii="Arial" w:hAnsi="Arial" w:cs="Arial"/>
                <w:b/>
                <w:sz w:val="22"/>
                <w:szCs w:val="22"/>
              </w:rPr>
              <w:t>Conference theme and/or subthemes addressed</w:t>
            </w:r>
          </w:p>
          <w:p w14:paraId="21099CFC" w14:textId="77777777" w:rsidR="007971B6" w:rsidRPr="00673D4A" w:rsidRDefault="007971B6" w:rsidP="007971B6">
            <w:pPr>
              <w:spacing w:before="150" w:after="150"/>
              <w:outlineLvl w:val="3"/>
              <w:rPr>
                <w:rFonts w:ascii="Arial" w:hAnsi="Arial"/>
                <w:sz w:val="22"/>
                <w:szCs w:val="22"/>
              </w:rPr>
            </w:pPr>
            <w:r w:rsidRPr="00673D4A">
              <w:rPr>
                <w:rFonts w:ascii="Arial" w:hAnsi="Arial"/>
                <w:sz w:val="22"/>
                <w:szCs w:val="22"/>
              </w:rPr>
              <w:t>Health Equity: </w:t>
            </w:r>
          </w:p>
          <w:p w14:paraId="08D8348F" w14:textId="77777777" w:rsidR="007971B6" w:rsidRPr="00673D4A" w:rsidRDefault="007971B6" w:rsidP="007971B6">
            <w:pPr>
              <w:rPr>
                <w:rFonts w:ascii="Arial" w:hAnsi="Arial"/>
                <w:sz w:val="22"/>
                <w:szCs w:val="22"/>
              </w:rPr>
            </w:pPr>
            <w:r w:rsidRPr="00673D4A">
              <w:rPr>
                <w:rFonts w:ascii="Arial" w:hAnsi="Arial"/>
                <w:sz w:val="22"/>
                <w:szCs w:val="22"/>
                <w:shd w:val="clear" w:color="auto" w:fill="FFFFFF"/>
              </w:rPr>
              <w:t>Ensure health equity throughout the life course, within and among countries, making each member of the global society an empowered lifelong learner </w:t>
            </w:r>
          </w:p>
          <w:p w14:paraId="69651096" w14:textId="77777777" w:rsidR="007971B6" w:rsidRPr="00673D4A" w:rsidRDefault="007971B6" w:rsidP="007971B6">
            <w:pPr>
              <w:jc w:val="both"/>
              <w:rPr>
                <w:rFonts w:ascii="Arial" w:hAnsi="Arial" w:cs="Arial"/>
                <w:b/>
                <w:sz w:val="22"/>
                <w:szCs w:val="22"/>
              </w:rPr>
            </w:pPr>
          </w:p>
          <w:p w14:paraId="653A44FF" w14:textId="77777777" w:rsidR="007971B6" w:rsidRPr="00673D4A" w:rsidRDefault="007971B6" w:rsidP="007971B6">
            <w:pPr>
              <w:spacing w:before="150" w:after="150"/>
              <w:outlineLvl w:val="3"/>
              <w:rPr>
                <w:rFonts w:ascii="Arial" w:hAnsi="Arial"/>
                <w:sz w:val="22"/>
                <w:szCs w:val="22"/>
              </w:rPr>
            </w:pPr>
            <w:r w:rsidRPr="00673D4A">
              <w:rPr>
                <w:rFonts w:ascii="Arial" w:hAnsi="Arial"/>
                <w:sz w:val="22"/>
                <w:szCs w:val="22"/>
              </w:rPr>
              <w:t>Build effective, accountable and inclusive governance:</w:t>
            </w:r>
          </w:p>
          <w:p w14:paraId="0775EA2B" w14:textId="77777777" w:rsidR="007971B6" w:rsidRPr="00673D4A" w:rsidRDefault="007971B6" w:rsidP="007971B6">
            <w:pPr>
              <w:rPr>
                <w:rFonts w:ascii="Arial" w:hAnsi="Arial"/>
                <w:sz w:val="22"/>
                <w:szCs w:val="22"/>
              </w:rPr>
            </w:pPr>
            <w:r w:rsidRPr="00673D4A">
              <w:rPr>
                <w:rFonts w:ascii="Arial" w:hAnsi="Arial"/>
                <w:sz w:val="22"/>
                <w:szCs w:val="22"/>
                <w:shd w:val="clear" w:color="auto" w:fill="FFFFFF"/>
              </w:rPr>
              <w:t>Build effective, accountable and inclusive governance at all levels that promotes, peace, justice and respect of human rights</w:t>
            </w:r>
          </w:p>
          <w:p w14:paraId="51A52CF1" w14:textId="77777777" w:rsidR="007971B6" w:rsidRPr="00673D4A" w:rsidRDefault="007971B6" w:rsidP="007971B6">
            <w:pPr>
              <w:jc w:val="both"/>
              <w:rPr>
                <w:rFonts w:ascii="Arial" w:hAnsi="Arial" w:cs="Arial"/>
                <w:b/>
                <w:sz w:val="22"/>
                <w:szCs w:val="22"/>
              </w:rPr>
            </w:pPr>
          </w:p>
          <w:p w14:paraId="67F5773A" w14:textId="77777777" w:rsidR="00F407AD" w:rsidRPr="00673D4A" w:rsidRDefault="00F407AD" w:rsidP="00BE682F">
            <w:pPr>
              <w:jc w:val="both"/>
              <w:rPr>
                <w:rFonts w:ascii="Arial" w:hAnsi="Arial" w:cs="Arial"/>
                <w:b/>
                <w:sz w:val="22"/>
                <w:szCs w:val="22"/>
              </w:rPr>
            </w:pPr>
          </w:p>
          <w:p w14:paraId="4EEBD019" w14:textId="77777777" w:rsidR="00F407AD" w:rsidRPr="00673D4A" w:rsidRDefault="00F407AD" w:rsidP="00BE682F">
            <w:pPr>
              <w:jc w:val="both"/>
              <w:rPr>
                <w:rFonts w:ascii="Arial" w:hAnsi="Arial" w:cs="Arial"/>
                <w:b/>
                <w:sz w:val="22"/>
                <w:szCs w:val="22"/>
              </w:rPr>
            </w:pPr>
          </w:p>
          <w:p w14:paraId="479B3BBA" w14:textId="77777777" w:rsidR="00F407AD" w:rsidRPr="00673D4A" w:rsidRDefault="00F407AD" w:rsidP="00BE682F">
            <w:pPr>
              <w:jc w:val="both"/>
              <w:rPr>
                <w:rFonts w:ascii="Arial" w:hAnsi="Arial" w:cs="Arial"/>
                <w:bCs/>
                <w:sz w:val="22"/>
                <w:szCs w:val="22"/>
              </w:rPr>
            </w:pPr>
          </w:p>
        </w:tc>
      </w:tr>
    </w:tbl>
    <w:p w14:paraId="1D932EF9" w14:textId="035A141A" w:rsidR="00F407AD" w:rsidRPr="00673D4A" w:rsidRDefault="00F407AD" w:rsidP="004C45A1">
      <w:pPr>
        <w:rPr>
          <w:rFonts w:ascii="Arial" w:hAnsi="Arial"/>
          <w:sz w:val="22"/>
          <w:szCs w:val="22"/>
        </w:rPr>
      </w:pPr>
    </w:p>
    <w:p w14:paraId="31C1E52A" w14:textId="426D6FD6" w:rsidR="00F407AD" w:rsidRPr="00673D4A" w:rsidRDefault="00F407AD">
      <w:pPr>
        <w:rPr>
          <w:rFonts w:ascii="Arial" w:hAnsi="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673D4A" w:rsidRPr="00673D4A" w14:paraId="0CC950A7" w14:textId="77777777" w:rsidTr="00BE682F">
        <w:tc>
          <w:tcPr>
            <w:tcW w:w="8640" w:type="dxa"/>
          </w:tcPr>
          <w:p w14:paraId="43256610" w14:textId="0BCB7446" w:rsidR="00F407AD" w:rsidRPr="00673D4A" w:rsidRDefault="00CF4157" w:rsidP="005353F4">
            <w:pPr>
              <w:rPr>
                <w:rFonts w:ascii="Arial" w:hAnsi="Arial"/>
                <w:sz w:val="22"/>
                <w:szCs w:val="22"/>
              </w:rPr>
            </w:pPr>
            <w:r w:rsidRPr="00673D4A">
              <w:rPr>
                <w:rFonts w:ascii="Arial" w:hAnsi="Arial" w:cs="Arial"/>
                <w:b/>
                <w:sz w:val="22"/>
                <w:szCs w:val="22"/>
              </w:rPr>
              <w:t>Title of Presentation 5</w:t>
            </w:r>
            <w:r w:rsidR="00F407AD" w:rsidRPr="00673D4A">
              <w:rPr>
                <w:rFonts w:ascii="Arial" w:hAnsi="Arial" w:cs="Arial"/>
                <w:b/>
                <w:sz w:val="22"/>
                <w:szCs w:val="22"/>
              </w:rPr>
              <w:t xml:space="preserve"> </w:t>
            </w:r>
            <w:r w:rsidR="00F407AD" w:rsidRPr="00673D4A">
              <w:rPr>
                <w:rFonts w:ascii="Arial" w:hAnsi="Arial" w:cs="Arial"/>
                <w:sz w:val="22"/>
                <w:szCs w:val="22"/>
              </w:rPr>
              <w:t>(Sentence case)</w:t>
            </w:r>
            <w:r w:rsidR="00976033" w:rsidRPr="00673D4A">
              <w:rPr>
                <w:rFonts w:ascii="Arial" w:hAnsi="Arial" w:cs="Arial"/>
                <w:sz w:val="22"/>
                <w:szCs w:val="22"/>
              </w:rPr>
              <w:t xml:space="preserve"> Tonga</w:t>
            </w:r>
            <w:r w:rsidR="008318A8" w:rsidRPr="00673D4A">
              <w:rPr>
                <w:rFonts w:ascii="Arial" w:hAnsi="Arial" w:cs="Arial"/>
                <w:sz w:val="22"/>
                <w:szCs w:val="22"/>
              </w:rPr>
              <w:t xml:space="preserve"> </w:t>
            </w:r>
            <w:r w:rsidR="00976033" w:rsidRPr="00673D4A">
              <w:rPr>
                <w:rFonts w:ascii="Arial" w:hAnsi="Arial" w:cs="Arial"/>
                <w:sz w:val="22"/>
                <w:szCs w:val="22"/>
              </w:rPr>
              <w:t>Health</w:t>
            </w:r>
            <w:r w:rsidR="008318A8" w:rsidRPr="00673D4A">
              <w:rPr>
                <w:rFonts w:ascii="Arial" w:hAnsi="Arial" w:cs="Arial"/>
                <w:sz w:val="22"/>
                <w:szCs w:val="22"/>
              </w:rPr>
              <w:t xml:space="preserve"> Promotion Foundation</w:t>
            </w:r>
            <w:r w:rsidR="00976033" w:rsidRPr="00673D4A">
              <w:rPr>
                <w:rFonts w:ascii="Arial" w:hAnsi="Arial" w:cs="Arial"/>
                <w:sz w:val="22"/>
                <w:szCs w:val="22"/>
              </w:rPr>
              <w:t xml:space="preserve">: </w:t>
            </w:r>
            <w:r w:rsidR="005353F4" w:rsidRPr="00673D4A">
              <w:rPr>
                <w:rFonts w:ascii="Arial" w:hAnsi="Arial" w:cs="Arial"/>
                <w:sz w:val="22"/>
                <w:szCs w:val="22"/>
              </w:rPr>
              <w:t>How can we approach best practice in NCD prevention in a pacific context? Case studies from Tonga.</w:t>
            </w:r>
          </w:p>
        </w:tc>
      </w:tr>
      <w:tr w:rsidR="00F407AD" w:rsidRPr="00673D4A" w14:paraId="72C74D51" w14:textId="77777777" w:rsidTr="00BE682F">
        <w:trPr>
          <w:trHeight w:val="7663"/>
        </w:trPr>
        <w:tc>
          <w:tcPr>
            <w:tcW w:w="8640" w:type="dxa"/>
          </w:tcPr>
          <w:p w14:paraId="03A005A0" w14:textId="02E53867" w:rsidR="005353F4" w:rsidRPr="00673D4A" w:rsidRDefault="005353F4" w:rsidP="005353F4">
            <w:pPr>
              <w:shd w:val="clear" w:color="auto" w:fill="FFFFFF"/>
              <w:spacing w:line="288" w:lineRule="atLeast"/>
              <w:rPr>
                <w:rFonts w:ascii="Arial" w:hAnsi="Arial" w:cs="Arial"/>
                <w:sz w:val="22"/>
                <w:szCs w:val="22"/>
              </w:rPr>
            </w:pPr>
            <w:r w:rsidRPr="00673D4A">
              <w:rPr>
                <w:rFonts w:ascii="Arial" w:hAnsi="Arial" w:cs="Arial"/>
                <w:sz w:val="22"/>
                <w:szCs w:val="22"/>
              </w:rPr>
              <w:t>The Pacific region faces a huge burden of Non-Communicable Diseases with some of the highest rates of cardiovascular disease and diabetes in the region and Tonga is at the forefront in its efforts to address this enormous challenge.</w:t>
            </w:r>
          </w:p>
          <w:p w14:paraId="2D048D37" w14:textId="77777777" w:rsidR="005353F4" w:rsidRPr="00673D4A" w:rsidRDefault="005353F4" w:rsidP="005353F4">
            <w:pPr>
              <w:shd w:val="clear" w:color="auto" w:fill="FFFFFF"/>
              <w:spacing w:line="288" w:lineRule="atLeast"/>
              <w:rPr>
                <w:rFonts w:ascii="Arial" w:hAnsi="Arial" w:cs="Arial"/>
                <w:sz w:val="22"/>
                <w:szCs w:val="22"/>
              </w:rPr>
            </w:pPr>
            <w:r w:rsidRPr="00673D4A">
              <w:rPr>
                <w:rFonts w:ascii="Arial" w:hAnsi="Arial" w:cs="Arial"/>
                <w:sz w:val="22"/>
                <w:szCs w:val="22"/>
              </w:rPr>
              <w:t>Tonga has established a Health Promotion Foundation which coordinates the ‘</w:t>
            </w:r>
            <w:proofErr w:type="spellStart"/>
            <w:r w:rsidRPr="00673D4A">
              <w:rPr>
                <w:rFonts w:ascii="Arial" w:hAnsi="Arial" w:cs="Arial"/>
                <w:sz w:val="22"/>
                <w:szCs w:val="22"/>
              </w:rPr>
              <w:t>Hala</w:t>
            </w:r>
            <w:proofErr w:type="spellEnd"/>
            <w:r w:rsidRPr="00673D4A">
              <w:rPr>
                <w:rFonts w:ascii="Arial" w:hAnsi="Arial" w:cs="Arial"/>
                <w:sz w:val="22"/>
                <w:szCs w:val="22"/>
              </w:rPr>
              <w:t xml:space="preserve"> </w:t>
            </w:r>
            <w:proofErr w:type="spellStart"/>
            <w:r w:rsidRPr="00673D4A">
              <w:rPr>
                <w:rFonts w:ascii="Arial" w:hAnsi="Arial" w:cs="Arial"/>
                <w:sz w:val="22"/>
                <w:szCs w:val="22"/>
              </w:rPr>
              <w:t>Fononga</w:t>
            </w:r>
            <w:proofErr w:type="spellEnd"/>
            <w:r w:rsidRPr="00673D4A">
              <w:rPr>
                <w:rFonts w:ascii="Arial" w:hAnsi="Arial" w:cs="Arial"/>
                <w:sz w:val="22"/>
                <w:szCs w:val="22"/>
              </w:rPr>
              <w:t>’ the National Strategy for the Prevention and Control of Non-Communicable Disease 2015-2020.</w:t>
            </w:r>
          </w:p>
          <w:p w14:paraId="22AA3267" w14:textId="77777777" w:rsidR="005353F4" w:rsidRPr="00673D4A" w:rsidRDefault="005353F4" w:rsidP="005353F4">
            <w:pPr>
              <w:shd w:val="clear" w:color="auto" w:fill="FFFFFF"/>
              <w:spacing w:line="288" w:lineRule="atLeast"/>
              <w:rPr>
                <w:rFonts w:ascii="Arial" w:hAnsi="Arial" w:cs="Arial"/>
                <w:sz w:val="22"/>
                <w:szCs w:val="22"/>
              </w:rPr>
            </w:pPr>
            <w:proofErr w:type="spellStart"/>
            <w:r w:rsidRPr="00673D4A">
              <w:rPr>
                <w:rFonts w:ascii="Arial" w:hAnsi="Arial" w:cs="Arial"/>
                <w:sz w:val="22"/>
                <w:szCs w:val="22"/>
              </w:rPr>
              <w:t>TongaHealth</w:t>
            </w:r>
            <w:proofErr w:type="spellEnd"/>
            <w:r w:rsidRPr="00673D4A">
              <w:rPr>
                <w:rFonts w:ascii="Arial" w:hAnsi="Arial" w:cs="Arial"/>
                <w:sz w:val="22"/>
                <w:szCs w:val="22"/>
              </w:rPr>
              <w:t xml:space="preserve"> works alongside its government and non-government partners to deliver the most effective strategies to reduce the burden of disease in Tonga and meet its obligations under the Sustainable Development Goals and work within the original vision of the ‘Healthy Island’ framework.</w:t>
            </w:r>
          </w:p>
          <w:p w14:paraId="765C4E77" w14:textId="77777777" w:rsidR="005353F4" w:rsidRPr="00673D4A" w:rsidRDefault="005353F4" w:rsidP="005353F4">
            <w:pPr>
              <w:shd w:val="clear" w:color="auto" w:fill="FFFFFF"/>
              <w:spacing w:line="288" w:lineRule="atLeast"/>
              <w:rPr>
                <w:rFonts w:ascii="Arial" w:hAnsi="Arial" w:cs="Arial"/>
                <w:sz w:val="22"/>
                <w:szCs w:val="22"/>
              </w:rPr>
            </w:pPr>
            <w:r w:rsidRPr="00673D4A">
              <w:rPr>
                <w:rFonts w:ascii="Arial" w:hAnsi="Arial" w:cs="Arial"/>
                <w:sz w:val="22"/>
                <w:szCs w:val="22"/>
              </w:rPr>
              <w:t>The key challenge is achieving evidence based best practice in a ‘resource challenged’ environment.</w:t>
            </w:r>
          </w:p>
          <w:p w14:paraId="2227CC2B" w14:textId="3048F25B" w:rsidR="00F407AD" w:rsidRPr="00673D4A" w:rsidRDefault="005353F4" w:rsidP="005353F4">
            <w:pPr>
              <w:rPr>
                <w:rFonts w:ascii="Arial" w:hAnsi="Arial"/>
                <w:sz w:val="22"/>
                <w:szCs w:val="22"/>
              </w:rPr>
            </w:pPr>
            <w:r w:rsidRPr="00673D4A">
              <w:rPr>
                <w:rFonts w:ascii="Arial" w:hAnsi="Arial"/>
                <w:sz w:val="22"/>
                <w:szCs w:val="22"/>
              </w:rPr>
              <w:br/>
            </w:r>
          </w:p>
          <w:p w14:paraId="6BD05B9E" w14:textId="77777777" w:rsidR="00F407AD" w:rsidRPr="00673D4A" w:rsidRDefault="00F407AD" w:rsidP="00BE682F">
            <w:pPr>
              <w:jc w:val="both"/>
              <w:rPr>
                <w:rFonts w:ascii="Arial" w:hAnsi="Arial" w:cs="Arial"/>
                <w:b/>
                <w:sz w:val="22"/>
                <w:szCs w:val="22"/>
              </w:rPr>
            </w:pPr>
            <w:r w:rsidRPr="00673D4A">
              <w:rPr>
                <w:rFonts w:ascii="Arial" w:hAnsi="Arial" w:cs="Arial"/>
                <w:b/>
                <w:sz w:val="22"/>
                <w:szCs w:val="22"/>
              </w:rPr>
              <w:t>General Objective</w:t>
            </w:r>
          </w:p>
          <w:p w14:paraId="34836CC3" w14:textId="77777777" w:rsidR="005353F4" w:rsidRPr="00673D4A" w:rsidRDefault="005353F4" w:rsidP="005353F4">
            <w:pPr>
              <w:shd w:val="clear" w:color="auto" w:fill="FFFFFF"/>
              <w:spacing w:line="288" w:lineRule="atLeast"/>
              <w:rPr>
                <w:rFonts w:ascii="Arial" w:hAnsi="Arial" w:cs="Arial"/>
                <w:sz w:val="22"/>
                <w:szCs w:val="22"/>
              </w:rPr>
            </w:pPr>
            <w:r w:rsidRPr="00673D4A">
              <w:rPr>
                <w:rFonts w:ascii="Arial" w:hAnsi="Arial" w:cs="Arial"/>
                <w:sz w:val="22"/>
                <w:szCs w:val="22"/>
              </w:rPr>
              <w:t>This presentation will provide diverse case studies illustrating how we work towards best practice from policy and legislative strategies to community interventions, including;</w:t>
            </w:r>
          </w:p>
          <w:p w14:paraId="30F057AC" w14:textId="77777777" w:rsidR="005353F4" w:rsidRPr="00673D4A" w:rsidRDefault="005353F4" w:rsidP="005353F4">
            <w:pPr>
              <w:numPr>
                <w:ilvl w:val="0"/>
                <w:numId w:val="5"/>
              </w:numPr>
              <w:shd w:val="clear" w:color="auto" w:fill="FFFFFF"/>
              <w:spacing w:line="330" w:lineRule="atLeast"/>
              <w:rPr>
                <w:rFonts w:ascii="Arial" w:hAnsi="Arial" w:cs="Arial"/>
                <w:sz w:val="22"/>
                <w:szCs w:val="22"/>
              </w:rPr>
            </w:pPr>
            <w:r w:rsidRPr="00673D4A">
              <w:rPr>
                <w:rFonts w:ascii="Arial" w:hAnsi="Arial" w:cs="Arial"/>
                <w:sz w:val="22"/>
                <w:szCs w:val="22"/>
              </w:rPr>
              <w:t>Taxation as a mechanism for change</w:t>
            </w:r>
          </w:p>
          <w:p w14:paraId="0F602B5E" w14:textId="77777777" w:rsidR="005353F4" w:rsidRPr="00673D4A" w:rsidRDefault="005353F4" w:rsidP="005353F4">
            <w:pPr>
              <w:numPr>
                <w:ilvl w:val="0"/>
                <w:numId w:val="5"/>
              </w:numPr>
              <w:shd w:val="clear" w:color="auto" w:fill="FFFFFF"/>
              <w:spacing w:line="330" w:lineRule="atLeast"/>
              <w:rPr>
                <w:rFonts w:ascii="Arial" w:hAnsi="Arial" w:cs="Arial"/>
                <w:sz w:val="22"/>
                <w:szCs w:val="22"/>
              </w:rPr>
            </w:pPr>
            <w:r w:rsidRPr="00673D4A">
              <w:rPr>
                <w:rFonts w:ascii="Arial" w:hAnsi="Arial" w:cs="Arial"/>
                <w:sz w:val="22"/>
                <w:szCs w:val="22"/>
              </w:rPr>
              <w:t xml:space="preserve">National campaigns as a tool for changing </w:t>
            </w:r>
            <w:proofErr w:type="spellStart"/>
            <w:r w:rsidRPr="00673D4A">
              <w:rPr>
                <w:rFonts w:ascii="Arial" w:hAnsi="Arial" w:cs="Arial"/>
                <w:sz w:val="22"/>
                <w:szCs w:val="22"/>
              </w:rPr>
              <w:t>behaviour</w:t>
            </w:r>
            <w:proofErr w:type="spellEnd"/>
          </w:p>
          <w:p w14:paraId="776C6C5E" w14:textId="30AE2109" w:rsidR="005353F4" w:rsidRPr="00673D4A" w:rsidRDefault="005353F4" w:rsidP="005353F4">
            <w:pPr>
              <w:numPr>
                <w:ilvl w:val="0"/>
                <w:numId w:val="5"/>
              </w:numPr>
              <w:shd w:val="clear" w:color="auto" w:fill="FFFFFF"/>
              <w:spacing w:line="330" w:lineRule="atLeast"/>
              <w:rPr>
                <w:rFonts w:ascii="Arial" w:hAnsi="Arial" w:cs="Arial"/>
                <w:sz w:val="22"/>
                <w:szCs w:val="22"/>
              </w:rPr>
            </w:pPr>
            <w:r w:rsidRPr="00673D4A">
              <w:rPr>
                <w:rFonts w:ascii="Arial" w:hAnsi="Arial" w:cs="Arial"/>
                <w:sz w:val="22"/>
                <w:szCs w:val="22"/>
              </w:rPr>
              <w:t>Multi agency sustainable agriculture, livestock an</w:t>
            </w:r>
            <w:r w:rsidR="00DD7F09" w:rsidRPr="00673D4A">
              <w:rPr>
                <w:rFonts w:ascii="Arial" w:hAnsi="Arial" w:cs="Arial"/>
                <w:sz w:val="22"/>
                <w:szCs w:val="22"/>
              </w:rPr>
              <w:t>d Sustainable Management Areas </w:t>
            </w:r>
            <w:r w:rsidRPr="00673D4A">
              <w:rPr>
                <w:rFonts w:ascii="Arial" w:hAnsi="Arial" w:cs="Arial"/>
                <w:sz w:val="22"/>
                <w:szCs w:val="22"/>
              </w:rPr>
              <w:t>(SMAs) in the marine environment, and</w:t>
            </w:r>
          </w:p>
          <w:p w14:paraId="15864D55" w14:textId="77777777" w:rsidR="005353F4" w:rsidRPr="00673D4A" w:rsidRDefault="005353F4" w:rsidP="005353F4">
            <w:pPr>
              <w:numPr>
                <w:ilvl w:val="0"/>
                <w:numId w:val="5"/>
              </w:numPr>
              <w:shd w:val="clear" w:color="auto" w:fill="FFFFFF"/>
              <w:spacing w:line="330" w:lineRule="atLeast"/>
              <w:rPr>
                <w:rFonts w:ascii="Arial" w:hAnsi="Arial" w:cs="Arial"/>
                <w:sz w:val="22"/>
                <w:szCs w:val="22"/>
              </w:rPr>
            </w:pPr>
            <w:r w:rsidRPr="00673D4A">
              <w:rPr>
                <w:rFonts w:ascii="Arial" w:hAnsi="Arial" w:cs="Arial"/>
                <w:sz w:val="22"/>
                <w:szCs w:val="22"/>
              </w:rPr>
              <w:t>Health promotion and screening in the workplace</w:t>
            </w:r>
          </w:p>
          <w:p w14:paraId="5C518108" w14:textId="77777777" w:rsidR="005353F4" w:rsidRPr="00673D4A" w:rsidRDefault="005353F4" w:rsidP="005353F4">
            <w:pPr>
              <w:numPr>
                <w:ilvl w:val="0"/>
                <w:numId w:val="5"/>
              </w:numPr>
              <w:shd w:val="clear" w:color="auto" w:fill="FFFFFF"/>
              <w:spacing w:line="330" w:lineRule="atLeast"/>
              <w:rPr>
                <w:rFonts w:ascii="Arial" w:hAnsi="Arial" w:cs="Arial"/>
                <w:sz w:val="22"/>
                <w:szCs w:val="22"/>
              </w:rPr>
            </w:pPr>
            <w:r w:rsidRPr="00673D4A">
              <w:rPr>
                <w:rFonts w:ascii="Arial" w:hAnsi="Arial" w:cs="Arial"/>
                <w:sz w:val="22"/>
                <w:szCs w:val="22"/>
              </w:rPr>
              <w:t>Developing frameworks for Monitoring and Evaluation</w:t>
            </w:r>
          </w:p>
          <w:p w14:paraId="219453BC" w14:textId="77777777" w:rsidR="00F407AD" w:rsidRPr="00673D4A" w:rsidRDefault="00F407AD" w:rsidP="00BE682F">
            <w:pPr>
              <w:jc w:val="both"/>
              <w:rPr>
                <w:rFonts w:ascii="Arial" w:hAnsi="Arial" w:cs="Arial"/>
                <w:b/>
                <w:sz w:val="22"/>
                <w:szCs w:val="22"/>
              </w:rPr>
            </w:pPr>
            <w:r w:rsidRPr="00673D4A">
              <w:rPr>
                <w:rFonts w:ascii="Arial" w:hAnsi="Arial" w:cs="Arial"/>
                <w:b/>
                <w:sz w:val="22"/>
                <w:szCs w:val="22"/>
              </w:rPr>
              <w:t>Proposed format of the session</w:t>
            </w:r>
          </w:p>
          <w:p w14:paraId="525D1A07" w14:textId="77777777" w:rsidR="00F407AD" w:rsidRPr="00673D4A" w:rsidRDefault="00F407AD" w:rsidP="00BE682F">
            <w:pPr>
              <w:jc w:val="both"/>
              <w:rPr>
                <w:rFonts w:ascii="Arial" w:hAnsi="Arial" w:cs="Arial"/>
                <w:b/>
                <w:sz w:val="22"/>
                <w:szCs w:val="22"/>
              </w:rPr>
            </w:pPr>
          </w:p>
          <w:p w14:paraId="58BC6A5D" w14:textId="537D5895" w:rsidR="00F407AD" w:rsidRPr="00673D4A" w:rsidRDefault="0025596A" w:rsidP="00BE682F">
            <w:pPr>
              <w:jc w:val="both"/>
              <w:rPr>
                <w:rFonts w:ascii="Arial" w:hAnsi="Arial" w:cs="Arial"/>
                <w:bCs/>
                <w:sz w:val="22"/>
                <w:szCs w:val="22"/>
              </w:rPr>
            </w:pPr>
            <w:r w:rsidRPr="00673D4A">
              <w:rPr>
                <w:rFonts w:ascii="Arial" w:hAnsi="Arial" w:cs="Arial"/>
                <w:bCs/>
                <w:sz w:val="22"/>
                <w:szCs w:val="22"/>
              </w:rPr>
              <w:t>Roundtable Discussion</w:t>
            </w:r>
          </w:p>
          <w:p w14:paraId="4F495A3C" w14:textId="77777777" w:rsidR="00F407AD" w:rsidRPr="00673D4A" w:rsidRDefault="00F407AD" w:rsidP="00BE682F">
            <w:pPr>
              <w:jc w:val="both"/>
              <w:rPr>
                <w:rFonts w:ascii="Arial" w:hAnsi="Arial" w:cs="Arial"/>
                <w:b/>
                <w:sz w:val="22"/>
                <w:szCs w:val="22"/>
              </w:rPr>
            </w:pPr>
          </w:p>
          <w:p w14:paraId="4C179194" w14:textId="77777777" w:rsidR="00F407AD" w:rsidRPr="00673D4A" w:rsidRDefault="00F407AD" w:rsidP="00BE682F">
            <w:pPr>
              <w:jc w:val="both"/>
              <w:rPr>
                <w:rFonts w:ascii="Arial" w:hAnsi="Arial" w:cs="Arial"/>
                <w:b/>
                <w:sz w:val="22"/>
                <w:szCs w:val="22"/>
              </w:rPr>
            </w:pPr>
            <w:r w:rsidRPr="00673D4A">
              <w:rPr>
                <w:rFonts w:ascii="Arial" w:hAnsi="Arial" w:cs="Arial"/>
                <w:b/>
                <w:sz w:val="22"/>
                <w:szCs w:val="22"/>
              </w:rPr>
              <w:t>Conference theme and/or subthemes addressed</w:t>
            </w:r>
          </w:p>
          <w:p w14:paraId="3F38B62E" w14:textId="77777777" w:rsidR="00F407AD" w:rsidRPr="00673D4A" w:rsidRDefault="00F407AD" w:rsidP="00BE682F">
            <w:pPr>
              <w:jc w:val="both"/>
              <w:rPr>
                <w:rFonts w:ascii="Arial" w:hAnsi="Arial" w:cs="Arial"/>
                <w:b/>
                <w:sz w:val="22"/>
                <w:szCs w:val="22"/>
              </w:rPr>
            </w:pPr>
          </w:p>
          <w:p w14:paraId="6736E6C7" w14:textId="77777777" w:rsidR="00976033" w:rsidRPr="00673D4A" w:rsidRDefault="00976033" w:rsidP="00976033">
            <w:pPr>
              <w:spacing w:before="150" w:after="150"/>
              <w:outlineLvl w:val="3"/>
              <w:rPr>
                <w:rFonts w:ascii="Arial" w:hAnsi="Arial"/>
                <w:sz w:val="22"/>
                <w:szCs w:val="22"/>
              </w:rPr>
            </w:pPr>
            <w:r w:rsidRPr="00673D4A">
              <w:rPr>
                <w:rFonts w:ascii="Arial" w:hAnsi="Arial"/>
                <w:sz w:val="22"/>
                <w:szCs w:val="22"/>
              </w:rPr>
              <w:t>Health Equity: </w:t>
            </w:r>
          </w:p>
          <w:p w14:paraId="40405076" w14:textId="77777777" w:rsidR="00976033" w:rsidRPr="00673D4A" w:rsidRDefault="00976033" w:rsidP="00976033">
            <w:pPr>
              <w:rPr>
                <w:rFonts w:ascii="Arial" w:hAnsi="Arial"/>
                <w:sz w:val="22"/>
                <w:szCs w:val="22"/>
              </w:rPr>
            </w:pPr>
            <w:r w:rsidRPr="00673D4A">
              <w:rPr>
                <w:rFonts w:ascii="Arial" w:hAnsi="Arial"/>
                <w:sz w:val="22"/>
                <w:szCs w:val="22"/>
                <w:shd w:val="clear" w:color="auto" w:fill="FFFFFF"/>
              </w:rPr>
              <w:t>Ensure health equity throughout the life course, within and among countries, making each member of the global society an empowered lifelong learner </w:t>
            </w:r>
          </w:p>
          <w:p w14:paraId="7E5B957B" w14:textId="77777777" w:rsidR="00976033" w:rsidRPr="00673D4A" w:rsidRDefault="00976033" w:rsidP="00976033">
            <w:pPr>
              <w:jc w:val="both"/>
              <w:rPr>
                <w:rFonts w:ascii="Arial" w:hAnsi="Arial" w:cs="Arial"/>
                <w:b/>
                <w:sz w:val="22"/>
                <w:szCs w:val="22"/>
              </w:rPr>
            </w:pPr>
          </w:p>
          <w:p w14:paraId="1A828EFD" w14:textId="77777777" w:rsidR="00976033" w:rsidRPr="00673D4A" w:rsidRDefault="00976033" w:rsidP="00976033">
            <w:pPr>
              <w:spacing w:before="150" w:after="150"/>
              <w:outlineLvl w:val="3"/>
              <w:rPr>
                <w:rFonts w:ascii="Arial" w:hAnsi="Arial"/>
                <w:sz w:val="22"/>
                <w:szCs w:val="22"/>
              </w:rPr>
            </w:pPr>
            <w:r w:rsidRPr="00673D4A">
              <w:rPr>
                <w:rFonts w:ascii="Arial" w:hAnsi="Arial"/>
                <w:sz w:val="22"/>
                <w:szCs w:val="22"/>
              </w:rPr>
              <w:t>Build effective, accountable and inclusive governance:</w:t>
            </w:r>
          </w:p>
          <w:p w14:paraId="026188BC" w14:textId="12B8D0F2" w:rsidR="00F407AD" w:rsidRPr="00673D4A" w:rsidRDefault="00976033" w:rsidP="00FD35C0">
            <w:pPr>
              <w:rPr>
                <w:rFonts w:ascii="Arial" w:hAnsi="Arial"/>
                <w:sz w:val="22"/>
                <w:szCs w:val="22"/>
              </w:rPr>
            </w:pPr>
            <w:r w:rsidRPr="00673D4A">
              <w:rPr>
                <w:rFonts w:ascii="Arial" w:hAnsi="Arial"/>
                <w:sz w:val="22"/>
                <w:szCs w:val="22"/>
                <w:shd w:val="clear" w:color="auto" w:fill="FFFFFF"/>
              </w:rPr>
              <w:t>Build effective, accountable and inclusive governance at all levels that promotes, peace, justice and respect of human rights</w:t>
            </w:r>
          </w:p>
        </w:tc>
      </w:tr>
    </w:tbl>
    <w:p w14:paraId="2D94FF50" w14:textId="0123652C" w:rsidR="004C45A1" w:rsidRPr="00673D4A" w:rsidRDefault="004C45A1" w:rsidP="004C45A1">
      <w:pPr>
        <w:rPr>
          <w:rFonts w:ascii="Arial" w:hAnsi="Arial"/>
          <w:sz w:val="22"/>
          <w:szCs w:val="22"/>
        </w:rPr>
      </w:pPr>
    </w:p>
    <w:sectPr w:rsidR="004C45A1" w:rsidRPr="00673D4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695"/>
    <w:multiLevelType w:val="hybridMultilevel"/>
    <w:tmpl w:val="09185AD4"/>
    <w:lvl w:ilvl="0" w:tplc="95BA9C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6347A"/>
    <w:multiLevelType w:val="multilevel"/>
    <w:tmpl w:val="D238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222C0"/>
    <w:multiLevelType w:val="multilevel"/>
    <w:tmpl w:val="CAAC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B255E5"/>
    <w:multiLevelType w:val="multilevel"/>
    <w:tmpl w:val="0636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31A95"/>
    <w:multiLevelType w:val="multilevel"/>
    <w:tmpl w:val="D57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2B6B"/>
    <w:rsid w:val="00026E39"/>
    <w:rsid w:val="0003525D"/>
    <w:rsid w:val="000523E1"/>
    <w:rsid w:val="00065EFD"/>
    <w:rsid w:val="00077988"/>
    <w:rsid w:val="0008349E"/>
    <w:rsid w:val="00094FF8"/>
    <w:rsid w:val="000C05CE"/>
    <w:rsid w:val="00131D1E"/>
    <w:rsid w:val="00161030"/>
    <w:rsid w:val="001C3A37"/>
    <w:rsid w:val="001D1825"/>
    <w:rsid w:val="001D4943"/>
    <w:rsid w:val="00211765"/>
    <w:rsid w:val="00230B21"/>
    <w:rsid w:val="00242808"/>
    <w:rsid w:val="0025596A"/>
    <w:rsid w:val="00294265"/>
    <w:rsid w:val="002B7FC8"/>
    <w:rsid w:val="002F34DB"/>
    <w:rsid w:val="00316F90"/>
    <w:rsid w:val="00317FFE"/>
    <w:rsid w:val="00363AF7"/>
    <w:rsid w:val="003A6236"/>
    <w:rsid w:val="003B15A7"/>
    <w:rsid w:val="003D42B6"/>
    <w:rsid w:val="003F596D"/>
    <w:rsid w:val="0040784D"/>
    <w:rsid w:val="00487580"/>
    <w:rsid w:val="00490208"/>
    <w:rsid w:val="004B5B95"/>
    <w:rsid w:val="004C45A1"/>
    <w:rsid w:val="004E345D"/>
    <w:rsid w:val="0051126F"/>
    <w:rsid w:val="00525D5B"/>
    <w:rsid w:val="005353F4"/>
    <w:rsid w:val="00564331"/>
    <w:rsid w:val="00590824"/>
    <w:rsid w:val="00591DD5"/>
    <w:rsid w:val="00596A7C"/>
    <w:rsid w:val="005E08DB"/>
    <w:rsid w:val="005F7DC7"/>
    <w:rsid w:val="006605DB"/>
    <w:rsid w:val="00663BFF"/>
    <w:rsid w:val="00673D4A"/>
    <w:rsid w:val="006C6E32"/>
    <w:rsid w:val="0070252B"/>
    <w:rsid w:val="00714C46"/>
    <w:rsid w:val="007971B6"/>
    <w:rsid w:val="007A0AD2"/>
    <w:rsid w:val="007A0D50"/>
    <w:rsid w:val="007A2A9C"/>
    <w:rsid w:val="007C765F"/>
    <w:rsid w:val="0082392D"/>
    <w:rsid w:val="008318A8"/>
    <w:rsid w:val="00866E0B"/>
    <w:rsid w:val="008874BF"/>
    <w:rsid w:val="008C05AC"/>
    <w:rsid w:val="008F4D5E"/>
    <w:rsid w:val="00932377"/>
    <w:rsid w:val="00950710"/>
    <w:rsid w:val="00976033"/>
    <w:rsid w:val="009862F1"/>
    <w:rsid w:val="009B48B0"/>
    <w:rsid w:val="009B7881"/>
    <w:rsid w:val="009D5CDF"/>
    <w:rsid w:val="00A112C8"/>
    <w:rsid w:val="00A1780F"/>
    <w:rsid w:val="00A52941"/>
    <w:rsid w:val="00AA1598"/>
    <w:rsid w:val="00AA5B46"/>
    <w:rsid w:val="00AB42C9"/>
    <w:rsid w:val="00AD3934"/>
    <w:rsid w:val="00B10ED7"/>
    <w:rsid w:val="00B12CD1"/>
    <w:rsid w:val="00B20967"/>
    <w:rsid w:val="00B50A08"/>
    <w:rsid w:val="00B766BF"/>
    <w:rsid w:val="00BC5CBE"/>
    <w:rsid w:val="00C116AB"/>
    <w:rsid w:val="00C165E6"/>
    <w:rsid w:val="00C211D2"/>
    <w:rsid w:val="00C222C8"/>
    <w:rsid w:val="00C55B65"/>
    <w:rsid w:val="00C724DA"/>
    <w:rsid w:val="00C84789"/>
    <w:rsid w:val="00CA0DE6"/>
    <w:rsid w:val="00CB2597"/>
    <w:rsid w:val="00CB5FCB"/>
    <w:rsid w:val="00CC5CF2"/>
    <w:rsid w:val="00CD0335"/>
    <w:rsid w:val="00CE496D"/>
    <w:rsid w:val="00CE5D57"/>
    <w:rsid w:val="00CF4157"/>
    <w:rsid w:val="00D6456C"/>
    <w:rsid w:val="00D71EFE"/>
    <w:rsid w:val="00D8658C"/>
    <w:rsid w:val="00DA45EE"/>
    <w:rsid w:val="00DA7A71"/>
    <w:rsid w:val="00DC2C64"/>
    <w:rsid w:val="00DD7F09"/>
    <w:rsid w:val="00DE6D44"/>
    <w:rsid w:val="00E0479B"/>
    <w:rsid w:val="00E14713"/>
    <w:rsid w:val="00E36AD7"/>
    <w:rsid w:val="00E37453"/>
    <w:rsid w:val="00E379B4"/>
    <w:rsid w:val="00E458B1"/>
    <w:rsid w:val="00F16B61"/>
    <w:rsid w:val="00F407AD"/>
    <w:rsid w:val="00F8521F"/>
    <w:rsid w:val="00F86A0C"/>
    <w:rsid w:val="00FB626D"/>
    <w:rsid w:val="00FB7F4D"/>
    <w:rsid w:val="00FD35C0"/>
    <w:rsid w:val="00FD3E32"/>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D5CDF"/>
    <w:rPr>
      <w:sz w:val="24"/>
      <w:szCs w:val="24"/>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bidi="ar-SA"/>
    </w:rPr>
  </w:style>
  <w:style w:type="paragraph" w:styleId="BodyTextIndent">
    <w:name w:val="Body Text Indent"/>
    <w:basedOn w:val="Normal"/>
    <w:rsid w:val="000C05CE"/>
    <w:pPr>
      <w:spacing w:after="120"/>
      <w:ind w:left="283"/>
    </w:pPr>
    <w:rPr>
      <w:sz w:val="20"/>
      <w:szCs w:val="20"/>
      <w:lang w:bidi="ar-SA"/>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bidi="ar-SA"/>
    </w:rPr>
  </w:style>
  <w:style w:type="paragraph" w:customStyle="1" w:styleId="address">
    <w:name w:val="address"/>
    <w:basedOn w:val="Normal"/>
    <w:next w:val="Normal"/>
    <w:rsid w:val="004C45A1"/>
    <w:pPr>
      <w:autoSpaceDE w:val="0"/>
      <w:autoSpaceDN w:val="0"/>
    </w:pPr>
    <w:rPr>
      <w:sz w:val="18"/>
      <w:szCs w:val="22"/>
      <w:lang w:val="en-AU" w:bidi="ar-SA"/>
    </w:rPr>
  </w:style>
  <w:style w:type="paragraph" w:styleId="Title">
    <w:name w:val="Title"/>
    <w:basedOn w:val="Normal"/>
    <w:next w:val="Normal"/>
    <w:autoRedefine/>
    <w:qFormat/>
    <w:rsid w:val="004C45A1"/>
    <w:pPr>
      <w:autoSpaceDE w:val="0"/>
      <w:autoSpaceDN w:val="0"/>
      <w:outlineLvl w:val="0"/>
    </w:pPr>
    <w:rPr>
      <w:b/>
      <w:spacing w:val="-6"/>
      <w:kern w:val="28"/>
      <w:lang w:val="en-AU" w:bidi="ar-SA"/>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bidi="ar-SA"/>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rPr>
      <w:lang w:val="en-GB" w:bidi="ar-SA"/>
    </w:rPr>
  </w:style>
  <w:style w:type="character" w:styleId="CommentReference">
    <w:name w:val="annotation reference"/>
    <w:basedOn w:val="DefaultParagraphFont"/>
    <w:semiHidden/>
    <w:unhideWhenUsed/>
    <w:rsid w:val="003D42B6"/>
    <w:rPr>
      <w:sz w:val="18"/>
      <w:szCs w:val="18"/>
    </w:rPr>
  </w:style>
  <w:style w:type="paragraph" w:styleId="CommentText">
    <w:name w:val="annotation text"/>
    <w:basedOn w:val="Normal"/>
    <w:link w:val="CommentTextChar"/>
    <w:semiHidden/>
    <w:unhideWhenUsed/>
    <w:rsid w:val="003D42B6"/>
    <w:rPr>
      <w:lang w:val="en-GB" w:bidi="ar-SA"/>
    </w:rPr>
  </w:style>
  <w:style w:type="character" w:customStyle="1" w:styleId="CommentTextChar">
    <w:name w:val="Comment Text Char"/>
    <w:basedOn w:val="DefaultParagraphFont"/>
    <w:link w:val="CommentText"/>
    <w:semiHidden/>
    <w:rsid w:val="003D42B6"/>
    <w:rPr>
      <w:sz w:val="24"/>
      <w:szCs w:val="24"/>
      <w:lang w:val="en-GB" w:eastAsia="en-US"/>
    </w:rPr>
  </w:style>
  <w:style w:type="paragraph" w:styleId="CommentSubject">
    <w:name w:val="annotation subject"/>
    <w:basedOn w:val="CommentText"/>
    <w:next w:val="CommentText"/>
    <w:link w:val="CommentSubjectChar"/>
    <w:semiHidden/>
    <w:unhideWhenUsed/>
    <w:rsid w:val="003D42B6"/>
    <w:rPr>
      <w:b/>
      <w:bCs/>
      <w:sz w:val="20"/>
      <w:szCs w:val="20"/>
    </w:rPr>
  </w:style>
  <w:style w:type="character" w:customStyle="1" w:styleId="CommentSubjectChar">
    <w:name w:val="Comment Subject Char"/>
    <w:basedOn w:val="CommentTextChar"/>
    <w:link w:val="CommentSubject"/>
    <w:semiHidden/>
    <w:rsid w:val="003D42B6"/>
    <w:rPr>
      <w:b/>
      <w:bCs/>
      <w:sz w:val="24"/>
      <w:szCs w:val="24"/>
      <w:lang w:val="en-GB" w:eastAsia="en-US"/>
    </w:rPr>
  </w:style>
  <w:style w:type="paragraph" w:styleId="BalloonText">
    <w:name w:val="Balloon Text"/>
    <w:basedOn w:val="Normal"/>
    <w:link w:val="BalloonTextChar"/>
    <w:rsid w:val="003D42B6"/>
    <w:rPr>
      <w:sz w:val="18"/>
      <w:szCs w:val="18"/>
      <w:lang w:val="en-GB" w:bidi="ar-SA"/>
    </w:rPr>
  </w:style>
  <w:style w:type="character" w:customStyle="1" w:styleId="BalloonTextChar">
    <w:name w:val="Balloon Text Char"/>
    <w:basedOn w:val="DefaultParagraphFont"/>
    <w:link w:val="BalloonText"/>
    <w:rsid w:val="003D42B6"/>
    <w:rPr>
      <w:sz w:val="18"/>
      <w:szCs w:val="18"/>
      <w:lang w:val="en-GB" w:eastAsia="en-US"/>
    </w:rPr>
  </w:style>
  <w:style w:type="character" w:customStyle="1" w:styleId="apple-converted-space">
    <w:name w:val="apple-converted-space"/>
    <w:basedOn w:val="DefaultParagraphFont"/>
    <w:rsid w:val="00FB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4932888">
      <w:bodyDiv w:val="1"/>
      <w:marLeft w:val="0"/>
      <w:marRight w:val="0"/>
      <w:marTop w:val="0"/>
      <w:marBottom w:val="0"/>
      <w:divBdr>
        <w:top w:val="none" w:sz="0" w:space="0" w:color="auto"/>
        <w:left w:val="none" w:sz="0" w:space="0" w:color="auto"/>
        <w:bottom w:val="none" w:sz="0" w:space="0" w:color="auto"/>
        <w:right w:val="none" w:sz="0" w:space="0" w:color="auto"/>
      </w:divBdr>
    </w:div>
    <w:div w:id="118031362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43821550">
      <w:bodyDiv w:val="1"/>
      <w:marLeft w:val="0"/>
      <w:marRight w:val="0"/>
      <w:marTop w:val="0"/>
      <w:marBottom w:val="0"/>
      <w:divBdr>
        <w:top w:val="none" w:sz="0" w:space="0" w:color="auto"/>
        <w:left w:val="none" w:sz="0" w:space="0" w:color="auto"/>
        <w:bottom w:val="none" w:sz="0" w:space="0" w:color="auto"/>
        <w:right w:val="none" w:sz="0" w:space="0" w:color="auto"/>
      </w:divBdr>
    </w:div>
    <w:div w:id="1462533417">
      <w:bodyDiv w:val="1"/>
      <w:marLeft w:val="0"/>
      <w:marRight w:val="0"/>
      <w:marTop w:val="0"/>
      <w:marBottom w:val="0"/>
      <w:divBdr>
        <w:top w:val="none" w:sz="0" w:space="0" w:color="auto"/>
        <w:left w:val="none" w:sz="0" w:space="0" w:color="auto"/>
        <w:bottom w:val="none" w:sz="0" w:space="0" w:color="auto"/>
        <w:right w:val="none" w:sz="0" w:space="0" w:color="auto"/>
      </w:divBdr>
    </w:div>
    <w:div w:id="1547452358">
      <w:bodyDiv w:val="1"/>
      <w:marLeft w:val="0"/>
      <w:marRight w:val="0"/>
      <w:marTop w:val="0"/>
      <w:marBottom w:val="0"/>
      <w:divBdr>
        <w:top w:val="none" w:sz="0" w:space="0" w:color="auto"/>
        <w:left w:val="none" w:sz="0" w:space="0" w:color="auto"/>
        <w:bottom w:val="none" w:sz="0" w:space="0" w:color="auto"/>
        <w:right w:val="none" w:sz="0" w:space="0" w:color="auto"/>
      </w:divBdr>
    </w:div>
    <w:div w:id="1827549293">
      <w:bodyDiv w:val="1"/>
      <w:marLeft w:val="0"/>
      <w:marRight w:val="0"/>
      <w:marTop w:val="0"/>
      <w:marBottom w:val="0"/>
      <w:divBdr>
        <w:top w:val="none" w:sz="0" w:space="0" w:color="auto"/>
        <w:left w:val="none" w:sz="0" w:space="0" w:color="auto"/>
        <w:bottom w:val="none" w:sz="0" w:space="0" w:color="auto"/>
        <w:right w:val="none" w:sz="0" w:space="0" w:color="auto"/>
      </w:divBdr>
    </w:div>
    <w:div w:id="1875077500">
      <w:bodyDiv w:val="1"/>
      <w:marLeft w:val="0"/>
      <w:marRight w:val="0"/>
      <w:marTop w:val="0"/>
      <w:marBottom w:val="0"/>
      <w:divBdr>
        <w:top w:val="none" w:sz="0" w:space="0" w:color="auto"/>
        <w:left w:val="none" w:sz="0" w:space="0" w:color="auto"/>
        <w:bottom w:val="none" w:sz="0" w:space="0" w:color="auto"/>
        <w:right w:val="none" w:sz="0" w:space="0" w:color="auto"/>
      </w:divBdr>
    </w:div>
    <w:div w:id="1907909697">
      <w:bodyDiv w:val="1"/>
      <w:marLeft w:val="0"/>
      <w:marRight w:val="0"/>
      <w:marTop w:val="0"/>
      <w:marBottom w:val="0"/>
      <w:divBdr>
        <w:top w:val="none" w:sz="0" w:space="0" w:color="auto"/>
        <w:left w:val="none" w:sz="0" w:space="0" w:color="auto"/>
        <w:bottom w:val="none" w:sz="0" w:space="0" w:color="auto"/>
        <w:right w:val="none" w:sz="0" w:space="0" w:color="auto"/>
      </w:divBdr>
    </w:div>
    <w:div w:id="1956911087">
      <w:bodyDiv w:val="1"/>
      <w:marLeft w:val="0"/>
      <w:marRight w:val="0"/>
      <w:marTop w:val="0"/>
      <w:marBottom w:val="0"/>
      <w:divBdr>
        <w:top w:val="none" w:sz="0" w:space="0" w:color="auto"/>
        <w:left w:val="none" w:sz="0" w:space="0" w:color="auto"/>
        <w:bottom w:val="none" w:sz="0" w:space="0" w:color="auto"/>
        <w:right w:val="none" w:sz="0" w:space="0" w:color="auto"/>
      </w:divBdr>
    </w:div>
    <w:div w:id="1978101101">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purl.org/dc/dcmitype/"/>
    <ds:schemaRef ds:uri="http://purl.org/dc/elements/1.1/"/>
    <ds:schemaRef ds:uri="http://purl.org/dc/terms/"/>
    <ds:schemaRef ds:uri="9c8a2b7b-0bee-4c48-b0a6-23db8982d3bc"/>
    <ds:schemaRef ds:uri="http://schemas.openxmlformats.org/package/2006/metadata/core-properties"/>
    <ds:schemaRef ds:uri="http://schemas.microsoft.com/office/2006/documentManagement/types"/>
    <ds:schemaRef ds:uri="http://schemas.microsoft.com/office/infopath/2007/PartnerControl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CEAE952B-721B-43F7-B88A-27E879DB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1675</Words>
  <Characters>9998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2018-09-17T02:51:00Z</dcterms:created>
  <dcterms:modified xsi:type="dcterms:W3CDTF">2018-09-17T02:51:00Z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