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E9C7" w14:textId="77777777" w:rsidR="0088604E" w:rsidRDefault="0088604E" w:rsidP="0088604E">
      <w:pPr>
        <w:rPr>
          <w:rFonts w:ascii="Arial" w:hAnsi="Arial" w:cs="Arial"/>
          <w:b/>
          <w:bCs/>
        </w:rPr>
      </w:pPr>
    </w:p>
    <w:p w14:paraId="53851977" w14:textId="6CAE6571" w:rsidR="009A14A2" w:rsidRPr="0088604E" w:rsidRDefault="009A14A2" w:rsidP="0088604E">
      <w:pPr>
        <w:rPr>
          <w:rFonts w:ascii="Arial" w:hAnsi="Arial" w:cs="Arial"/>
          <w:b/>
          <w:bCs/>
        </w:rPr>
      </w:pPr>
      <w:r w:rsidRPr="0088604E">
        <w:rPr>
          <w:rFonts w:ascii="Arial" w:hAnsi="Arial" w:cs="Arial"/>
          <w:b/>
          <w:bCs/>
        </w:rPr>
        <w:t xml:space="preserve">Semaglutide monotherapy for HNF-1a MODY: An unexpected success  </w:t>
      </w:r>
    </w:p>
    <w:p w14:paraId="71F7F004" w14:textId="77777777" w:rsidR="00992DE1" w:rsidRPr="0088604E" w:rsidRDefault="00992DE1" w:rsidP="0088604E">
      <w:pPr>
        <w:rPr>
          <w:rFonts w:ascii="Arial" w:hAnsi="Arial" w:cs="Arial"/>
          <w:b/>
          <w:bCs/>
        </w:rPr>
      </w:pPr>
    </w:p>
    <w:p w14:paraId="2F397BE4" w14:textId="4AD29A8E" w:rsidR="001A76E6" w:rsidRPr="0088604E" w:rsidRDefault="001A76E6" w:rsidP="0088604E">
      <w:pPr>
        <w:rPr>
          <w:rFonts w:ascii="Arial" w:hAnsi="Arial" w:cs="Arial"/>
        </w:rPr>
      </w:pPr>
      <w:r w:rsidRPr="0088604E">
        <w:rPr>
          <w:rFonts w:ascii="Arial" w:hAnsi="Arial" w:cs="Arial"/>
          <w:b/>
          <w:bCs/>
        </w:rPr>
        <w:t>Aim:</w:t>
      </w:r>
      <w:r w:rsidRPr="0088604E">
        <w:rPr>
          <w:rFonts w:ascii="Arial" w:hAnsi="Arial" w:cs="Arial"/>
        </w:rPr>
        <w:t xml:space="preserve"> We describe </w:t>
      </w:r>
      <w:r w:rsidR="005F1E09" w:rsidRPr="0088604E">
        <w:rPr>
          <w:rFonts w:ascii="Arial" w:hAnsi="Arial" w:cs="Arial"/>
        </w:rPr>
        <w:t>a</w:t>
      </w:r>
      <w:r w:rsidRPr="0088604E">
        <w:rPr>
          <w:rFonts w:ascii="Arial" w:hAnsi="Arial" w:cs="Arial"/>
        </w:rPr>
        <w:t xml:space="preserve"> case </w:t>
      </w:r>
      <w:r w:rsidR="005F1E09" w:rsidRPr="0088604E">
        <w:rPr>
          <w:rFonts w:ascii="Arial" w:hAnsi="Arial" w:cs="Arial"/>
        </w:rPr>
        <w:t xml:space="preserve">of </w:t>
      </w:r>
      <w:r w:rsidRPr="0088604E">
        <w:rPr>
          <w:rFonts w:ascii="Arial" w:hAnsi="Arial" w:cs="Arial"/>
        </w:rPr>
        <w:t xml:space="preserve">successful management of </w:t>
      </w:r>
      <w:r w:rsidR="00992DE1" w:rsidRPr="0088604E">
        <w:rPr>
          <w:rFonts w:ascii="Arial" w:hAnsi="Arial" w:cs="Arial"/>
        </w:rPr>
        <w:t xml:space="preserve">hepatocyte nuclear factor 1-alpha monogenic diabetes of </w:t>
      </w:r>
      <w:r w:rsidR="00A72A60" w:rsidRPr="0088604E">
        <w:rPr>
          <w:rFonts w:ascii="Arial" w:hAnsi="Arial" w:cs="Arial"/>
        </w:rPr>
        <w:t>the young</w:t>
      </w:r>
      <w:r w:rsidR="00992DE1" w:rsidRPr="0088604E">
        <w:rPr>
          <w:rFonts w:ascii="Arial" w:hAnsi="Arial" w:cs="Arial"/>
        </w:rPr>
        <w:t xml:space="preserve"> (HNF1-a </w:t>
      </w:r>
      <w:r w:rsidRPr="0088604E">
        <w:rPr>
          <w:rFonts w:ascii="Arial" w:hAnsi="Arial" w:cs="Arial"/>
        </w:rPr>
        <w:t>MODY</w:t>
      </w:r>
      <w:r w:rsidR="00992DE1" w:rsidRPr="0088604E">
        <w:rPr>
          <w:rFonts w:ascii="Arial" w:hAnsi="Arial" w:cs="Arial"/>
        </w:rPr>
        <w:t>)</w:t>
      </w:r>
      <w:r w:rsidRPr="0088604E">
        <w:rPr>
          <w:rFonts w:ascii="Arial" w:hAnsi="Arial" w:cs="Arial"/>
        </w:rPr>
        <w:t xml:space="preserve"> with a glucagon-like peptide 1 </w:t>
      </w:r>
      <w:r w:rsidR="005F1E09" w:rsidRPr="0088604E">
        <w:rPr>
          <w:rFonts w:ascii="Arial" w:hAnsi="Arial" w:cs="Arial"/>
        </w:rPr>
        <w:t xml:space="preserve">receptor </w:t>
      </w:r>
      <w:r w:rsidRPr="0088604E">
        <w:rPr>
          <w:rFonts w:ascii="Arial" w:hAnsi="Arial" w:cs="Arial"/>
        </w:rPr>
        <w:t>agonist</w:t>
      </w:r>
      <w:r w:rsidR="005F1E09" w:rsidRPr="0088604E">
        <w:rPr>
          <w:rFonts w:ascii="Arial" w:hAnsi="Arial" w:cs="Arial"/>
        </w:rPr>
        <w:t xml:space="preserve"> (GLP-1 RA)</w:t>
      </w:r>
      <w:r w:rsidRPr="0088604E">
        <w:rPr>
          <w:rFonts w:ascii="Arial" w:hAnsi="Arial" w:cs="Arial"/>
        </w:rPr>
        <w:t xml:space="preserve">. </w:t>
      </w:r>
    </w:p>
    <w:p w14:paraId="1AF71991" w14:textId="77777777" w:rsidR="001A76E6" w:rsidRPr="0088604E" w:rsidRDefault="001A76E6" w:rsidP="0088604E">
      <w:pPr>
        <w:rPr>
          <w:rFonts w:ascii="Arial" w:hAnsi="Arial" w:cs="Arial"/>
          <w:b/>
          <w:bCs/>
        </w:rPr>
      </w:pPr>
    </w:p>
    <w:p w14:paraId="12B67DA4" w14:textId="3A957841" w:rsidR="001A76E6" w:rsidRPr="0088604E" w:rsidRDefault="001A76E6" w:rsidP="0088604E">
      <w:pPr>
        <w:rPr>
          <w:rFonts w:ascii="Arial" w:hAnsi="Arial" w:cs="Arial"/>
        </w:rPr>
      </w:pPr>
      <w:r w:rsidRPr="0088604E">
        <w:rPr>
          <w:rFonts w:ascii="Arial" w:hAnsi="Arial" w:cs="Arial"/>
          <w:b/>
          <w:bCs/>
        </w:rPr>
        <w:t xml:space="preserve">Methods: </w:t>
      </w:r>
      <w:r w:rsidRPr="0088604E">
        <w:rPr>
          <w:rFonts w:ascii="Arial" w:hAnsi="Arial" w:cs="Arial"/>
        </w:rPr>
        <w:t xml:space="preserve">A 34-year-old woman was first diagnosed with gestational diabetes </w:t>
      </w:r>
      <w:r w:rsidR="009A14A2" w:rsidRPr="0088604E">
        <w:rPr>
          <w:rFonts w:ascii="Arial" w:hAnsi="Arial" w:cs="Arial"/>
        </w:rPr>
        <w:t>at age 19, with a strong family history of diabetes and no additional features of metabolic syndrome</w:t>
      </w:r>
      <w:r w:rsidRPr="0088604E">
        <w:rPr>
          <w:rFonts w:ascii="Arial" w:hAnsi="Arial" w:cs="Arial"/>
        </w:rPr>
        <w:t xml:space="preserve">. </w:t>
      </w:r>
      <w:r w:rsidR="009A14A2" w:rsidRPr="0088604E">
        <w:rPr>
          <w:rFonts w:ascii="Arial" w:hAnsi="Arial" w:cs="Arial"/>
        </w:rPr>
        <w:t>G</w:t>
      </w:r>
      <w:r w:rsidRPr="0088604E">
        <w:rPr>
          <w:rFonts w:ascii="Arial" w:hAnsi="Arial" w:cs="Arial"/>
        </w:rPr>
        <w:t xml:space="preserve">enetic testing confirmed a heterozygous mutation in the </w:t>
      </w:r>
      <w:r w:rsidR="00992DE1" w:rsidRPr="0088604E">
        <w:rPr>
          <w:rFonts w:ascii="Arial" w:hAnsi="Arial" w:cs="Arial"/>
        </w:rPr>
        <w:t xml:space="preserve">HNF1-a </w:t>
      </w:r>
      <w:r w:rsidRPr="0088604E">
        <w:rPr>
          <w:rFonts w:ascii="Arial" w:hAnsi="Arial" w:cs="Arial"/>
        </w:rPr>
        <w:t xml:space="preserve">gene, leading to the diagnosis of </w:t>
      </w:r>
      <w:r w:rsidR="00992DE1" w:rsidRPr="0088604E">
        <w:rPr>
          <w:rFonts w:ascii="Arial" w:hAnsi="Arial" w:cs="Arial"/>
        </w:rPr>
        <w:t>HNF1-a MODY</w:t>
      </w:r>
      <w:r w:rsidRPr="0088604E">
        <w:rPr>
          <w:rFonts w:ascii="Arial" w:hAnsi="Arial" w:cs="Arial"/>
        </w:rPr>
        <w:t xml:space="preserve">. </w:t>
      </w:r>
      <w:r w:rsidR="005F1E09" w:rsidRPr="0088604E">
        <w:rPr>
          <w:rFonts w:ascii="Arial" w:hAnsi="Arial" w:cs="Arial"/>
        </w:rPr>
        <w:t>M</w:t>
      </w:r>
      <w:r w:rsidRPr="0088604E">
        <w:rPr>
          <w:rFonts w:ascii="Arial" w:hAnsi="Arial" w:cs="Arial"/>
        </w:rPr>
        <w:t>ultiple lines of treatment including a sulfonylurea</w:t>
      </w:r>
      <w:r w:rsidR="005F1E09" w:rsidRPr="0088604E">
        <w:rPr>
          <w:rFonts w:ascii="Arial" w:hAnsi="Arial" w:cs="Arial"/>
        </w:rPr>
        <w:t xml:space="preserve"> were trialled</w:t>
      </w:r>
      <w:r w:rsidRPr="0088604E">
        <w:rPr>
          <w:rFonts w:ascii="Arial" w:hAnsi="Arial" w:cs="Arial"/>
        </w:rPr>
        <w:t xml:space="preserve">, but self-ceased due to personal preference. </w:t>
      </w:r>
      <w:r w:rsidR="005F1E09" w:rsidRPr="0088604E">
        <w:rPr>
          <w:rFonts w:ascii="Arial" w:hAnsi="Arial" w:cs="Arial"/>
        </w:rPr>
        <w:t>S</w:t>
      </w:r>
      <w:r w:rsidRPr="0088604E">
        <w:rPr>
          <w:rFonts w:ascii="Arial" w:hAnsi="Arial" w:cs="Arial"/>
        </w:rPr>
        <w:t xml:space="preserve">emaglutide </w:t>
      </w:r>
      <w:r w:rsidR="00DC711F" w:rsidRPr="0088604E">
        <w:rPr>
          <w:rFonts w:ascii="Arial" w:hAnsi="Arial" w:cs="Arial"/>
        </w:rPr>
        <w:t xml:space="preserve">monotherapy </w:t>
      </w:r>
      <w:r w:rsidRPr="0088604E">
        <w:rPr>
          <w:rFonts w:ascii="Arial" w:hAnsi="Arial" w:cs="Arial"/>
        </w:rPr>
        <w:t>was commenced in 2023</w:t>
      </w:r>
      <w:r w:rsidR="005F1E09" w:rsidRPr="0088604E">
        <w:rPr>
          <w:rFonts w:ascii="Arial" w:hAnsi="Arial" w:cs="Arial"/>
        </w:rPr>
        <w:t xml:space="preserve"> to a maximum dose 0.5mg weekly, </w:t>
      </w:r>
      <w:r w:rsidRPr="0088604E">
        <w:rPr>
          <w:rFonts w:ascii="Arial" w:hAnsi="Arial" w:cs="Arial"/>
        </w:rPr>
        <w:t xml:space="preserve">with a HbA1c of 7.1% prior. </w:t>
      </w:r>
    </w:p>
    <w:p w14:paraId="22A97A63" w14:textId="77777777" w:rsidR="008427FA" w:rsidRPr="0088604E" w:rsidRDefault="008427FA" w:rsidP="0088604E">
      <w:pPr>
        <w:rPr>
          <w:rFonts w:ascii="Arial" w:hAnsi="Arial" w:cs="Arial"/>
        </w:rPr>
      </w:pPr>
    </w:p>
    <w:p w14:paraId="6F93C4FE" w14:textId="469B5AA0" w:rsidR="001A76E6" w:rsidRPr="0088604E" w:rsidRDefault="001A76E6" w:rsidP="0088604E">
      <w:pPr>
        <w:rPr>
          <w:rFonts w:ascii="Arial" w:hAnsi="Arial" w:cs="Arial"/>
          <w:b/>
          <w:bCs/>
        </w:rPr>
      </w:pPr>
      <w:r w:rsidRPr="0088604E">
        <w:rPr>
          <w:rFonts w:ascii="Arial" w:hAnsi="Arial" w:cs="Arial"/>
          <w:b/>
          <w:bCs/>
        </w:rPr>
        <w:t xml:space="preserve">Results: </w:t>
      </w:r>
      <w:r w:rsidR="009A14A2" w:rsidRPr="0088604E">
        <w:rPr>
          <w:rFonts w:ascii="Arial" w:hAnsi="Arial" w:cs="Arial"/>
        </w:rPr>
        <w:t>Semaglutide initiation</w:t>
      </w:r>
      <w:r w:rsidR="00DC711F" w:rsidRPr="0088604E">
        <w:rPr>
          <w:rFonts w:ascii="Arial" w:hAnsi="Arial" w:cs="Arial"/>
        </w:rPr>
        <w:t xml:space="preserve"> led to a reduction in HbA1c to 5.5% and an improvement in both fasting and post-prandial blood sugar levels.</w:t>
      </w:r>
    </w:p>
    <w:p w14:paraId="7F4EF34A" w14:textId="77777777" w:rsidR="001A76E6" w:rsidRPr="0088604E" w:rsidRDefault="001A76E6" w:rsidP="0088604E">
      <w:pPr>
        <w:rPr>
          <w:rFonts w:ascii="Arial" w:hAnsi="Arial" w:cs="Arial"/>
        </w:rPr>
      </w:pPr>
    </w:p>
    <w:p w14:paraId="147F71C0" w14:textId="15F60347" w:rsidR="00861672" w:rsidRPr="0088604E" w:rsidRDefault="001A76E6" w:rsidP="0088604E">
      <w:pPr>
        <w:rPr>
          <w:rFonts w:ascii="Arial" w:hAnsi="Arial" w:cs="Arial"/>
        </w:rPr>
      </w:pPr>
      <w:r w:rsidRPr="0088604E">
        <w:rPr>
          <w:rFonts w:ascii="Arial" w:hAnsi="Arial" w:cs="Arial"/>
          <w:b/>
          <w:bCs/>
        </w:rPr>
        <w:t>Conclusion</w:t>
      </w:r>
      <w:r w:rsidRPr="0088604E">
        <w:rPr>
          <w:rFonts w:ascii="Arial" w:hAnsi="Arial" w:cs="Arial"/>
        </w:rPr>
        <w:t xml:space="preserve">: </w:t>
      </w:r>
      <w:r w:rsidR="00992DE1" w:rsidRPr="0088604E">
        <w:rPr>
          <w:rFonts w:ascii="Arial" w:hAnsi="Arial" w:cs="Arial"/>
        </w:rPr>
        <w:t>MODY</w:t>
      </w:r>
      <w:r w:rsidR="00861672" w:rsidRPr="0088604E">
        <w:rPr>
          <w:rFonts w:ascii="Arial" w:hAnsi="Arial" w:cs="Arial"/>
        </w:rPr>
        <w:t xml:space="preserve"> accounts for 1-2% of all diabetes.</w:t>
      </w:r>
      <w:r w:rsidR="00861672" w:rsidRPr="0088604E">
        <w:rPr>
          <w:rFonts w:ascii="Arial" w:hAnsi="Arial" w:cs="Arial"/>
          <w:vertAlign w:val="superscript"/>
        </w:rPr>
        <w:t>1</w:t>
      </w:r>
      <w:r w:rsidR="00861672" w:rsidRPr="0088604E">
        <w:rPr>
          <w:rFonts w:ascii="Arial" w:hAnsi="Arial" w:cs="Arial"/>
        </w:rPr>
        <w:t xml:space="preserve"> Approximately half of all MODY cases are due to mutations in the HNF-1a, a transcription factor regulating </w:t>
      </w:r>
      <w:r w:rsidR="005F1E09" w:rsidRPr="0088604E">
        <w:rPr>
          <w:rFonts w:ascii="Arial" w:hAnsi="Arial" w:cs="Arial"/>
        </w:rPr>
        <w:t>insulin secretion</w:t>
      </w:r>
      <w:r w:rsidR="00861672" w:rsidRPr="0088604E">
        <w:rPr>
          <w:rFonts w:ascii="Arial" w:hAnsi="Arial" w:cs="Arial"/>
        </w:rPr>
        <w:t>.</w:t>
      </w:r>
      <w:r w:rsidR="00861672" w:rsidRPr="0088604E">
        <w:rPr>
          <w:rFonts w:ascii="Arial" w:hAnsi="Arial" w:cs="Arial"/>
          <w:vertAlign w:val="superscript"/>
        </w:rPr>
        <w:t>1,2</w:t>
      </w:r>
      <w:r w:rsidR="00861672" w:rsidRPr="0088604E">
        <w:rPr>
          <w:rFonts w:ascii="Arial" w:hAnsi="Arial" w:cs="Arial"/>
        </w:rPr>
        <w:t xml:space="preserve"> Sulfonylureas are frequently used in the treatment of </w:t>
      </w:r>
      <w:r w:rsidR="00992DE1" w:rsidRPr="0088604E">
        <w:rPr>
          <w:rFonts w:ascii="Arial" w:hAnsi="Arial" w:cs="Arial"/>
        </w:rPr>
        <w:t xml:space="preserve">HNF1-a MODY </w:t>
      </w:r>
      <w:r w:rsidR="00861672" w:rsidRPr="0088604E">
        <w:rPr>
          <w:rFonts w:ascii="Arial" w:hAnsi="Arial" w:cs="Arial"/>
        </w:rPr>
        <w:t>as they act on ATP-sensitive potassium channels to increase the secretion of insulin, therefore bypassing deficits caused by the HNF</w:t>
      </w:r>
      <w:r w:rsidR="00992DE1" w:rsidRPr="0088604E">
        <w:rPr>
          <w:rFonts w:ascii="Arial" w:hAnsi="Arial" w:cs="Arial"/>
        </w:rPr>
        <w:t xml:space="preserve">1 </w:t>
      </w:r>
      <w:r w:rsidR="00861672" w:rsidRPr="0088604E">
        <w:rPr>
          <w:rFonts w:ascii="Arial" w:hAnsi="Arial" w:cs="Arial"/>
        </w:rPr>
        <w:t>mutation.</w:t>
      </w:r>
      <w:r w:rsidR="00861672" w:rsidRPr="0088604E">
        <w:rPr>
          <w:rFonts w:ascii="Arial" w:hAnsi="Arial" w:cs="Arial"/>
          <w:vertAlign w:val="superscript"/>
        </w:rPr>
        <w:t>1</w:t>
      </w:r>
      <w:r w:rsidR="00861672" w:rsidRPr="0088604E">
        <w:rPr>
          <w:rFonts w:ascii="Arial" w:hAnsi="Arial" w:cs="Arial"/>
        </w:rPr>
        <w:t xml:space="preserve"> Insulin is another common treatment used</w:t>
      </w:r>
      <w:r w:rsidR="005F1E09" w:rsidRPr="0088604E">
        <w:rPr>
          <w:rFonts w:ascii="Arial" w:hAnsi="Arial" w:cs="Arial"/>
        </w:rPr>
        <w:t>. B</w:t>
      </w:r>
      <w:r w:rsidR="00861672" w:rsidRPr="0088604E">
        <w:rPr>
          <w:rFonts w:ascii="Arial" w:hAnsi="Arial" w:cs="Arial"/>
        </w:rPr>
        <w:t xml:space="preserve">oth insulin and sulfonylureas </w:t>
      </w:r>
      <w:r w:rsidR="005F1E09" w:rsidRPr="0088604E">
        <w:rPr>
          <w:rFonts w:ascii="Arial" w:hAnsi="Arial" w:cs="Arial"/>
        </w:rPr>
        <w:t>have common side effects of</w:t>
      </w:r>
      <w:r w:rsidR="00861672" w:rsidRPr="0088604E">
        <w:rPr>
          <w:rFonts w:ascii="Arial" w:hAnsi="Arial" w:cs="Arial"/>
        </w:rPr>
        <w:t xml:space="preserve"> hypoglycaemia and weight gain.</w:t>
      </w:r>
      <w:r w:rsidR="002E24C6" w:rsidRPr="0088604E">
        <w:rPr>
          <w:rFonts w:ascii="Arial" w:hAnsi="Arial" w:cs="Arial"/>
          <w:vertAlign w:val="superscript"/>
        </w:rPr>
        <w:t>3</w:t>
      </w:r>
      <w:r w:rsidR="00861672" w:rsidRPr="0088604E">
        <w:rPr>
          <w:rFonts w:ascii="Arial" w:hAnsi="Arial" w:cs="Arial"/>
        </w:rPr>
        <w:t xml:space="preserve"> </w:t>
      </w:r>
    </w:p>
    <w:p w14:paraId="1F11EB50" w14:textId="77777777" w:rsidR="00861672" w:rsidRPr="0088604E" w:rsidRDefault="00861672" w:rsidP="0088604E">
      <w:pPr>
        <w:rPr>
          <w:rFonts w:ascii="Arial" w:hAnsi="Arial" w:cs="Arial"/>
        </w:rPr>
      </w:pPr>
    </w:p>
    <w:p w14:paraId="46EAFD5F" w14:textId="6521AE2D" w:rsidR="001B1447" w:rsidRPr="0088604E" w:rsidRDefault="005F1E09" w:rsidP="0088604E">
      <w:pPr>
        <w:rPr>
          <w:rFonts w:ascii="Arial" w:hAnsi="Arial" w:cs="Arial"/>
        </w:rPr>
      </w:pPr>
      <w:r w:rsidRPr="0088604E">
        <w:rPr>
          <w:rFonts w:ascii="Arial" w:hAnsi="Arial" w:cs="Arial"/>
        </w:rPr>
        <w:t xml:space="preserve">GLP-1 </w:t>
      </w:r>
      <w:proofErr w:type="gramStart"/>
      <w:r w:rsidRPr="0088604E">
        <w:rPr>
          <w:rFonts w:ascii="Arial" w:hAnsi="Arial" w:cs="Arial"/>
        </w:rPr>
        <w:t>RA’s</w:t>
      </w:r>
      <w:proofErr w:type="gramEnd"/>
      <w:r w:rsidR="00861672" w:rsidRPr="0088604E">
        <w:rPr>
          <w:rFonts w:ascii="Arial" w:hAnsi="Arial" w:cs="Arial"/>
        </w:rPr>
        <w:t xml:space="preserve"> such as semaglutide </w:t>
      </w:r>
      <w:r w:rsidRPr="0088604E">
        <w:rPr>
          <w:rFonts w:ascii="Arial" w:hAnsi="Arial" w:cs="Arial"/>
        </w:rPr>
        <w:t>can be considered as alternative therapy, with a</w:t>
      </w:r>
      <w:r w:rsidR="002E24C6" w:rsidRPr="0088604E">
        <w:rPr>
          <w:rFonts w:ascii="Arial" w:hAnsi="Arial" w:cs="Arial"/>
        </w:rPr>
        <w:t xml:space="preserve"> redu</w:t>
      </w:r>
      <w:r w:rsidR="009A14A2" w:rsidRPr="0088604E">
        <w:rPr>
          <w:rFonts w:ascii="Arial" w:hAnsi="Arial" w:cs="Arial"/>
        </w:rPr>
        <w:t>c</w:t>
      </w:r>
      <w:r w:rsidR="002E24C6" w:rsidRPr="0088604E">
        <w:rPr>
          <w:rFonts w:ascii="Arial" w:hAnsi="Arial" w:cs="Arial"/>
        </w:rPr>
        <w:t xml:space="preserve">ed risk of hypoglycaemia and potential additional metabolic benefits. A crossover blinded randomised control trial compared six weeks of liraglutide to </w:t>
      </w:r>
      <w:r w:rsidR="00992DE1" w:rsidRPr="0088604E">
        <w:rPr>
          <w:rFonts w:ascii="Arial" w:hAnsi="Arial" w:cs="Arial"/>
        </w:rPr>
        <w:t>glimepiride</w:t>
      </w:r>
      <w:r w:rsidR="002E24C6" w:rsidRPr="0088604E">
        <w:rPr>
          <w:rFonts w:ascii="Arial" w:hAnsi="Arial" w:cs="Arial"/>
        </w:rPr>
        <w:t xml:space="preserve"> monotherapy for 16 patients with HFN-1a MODY, finding reduced fasting plasma glucose in both groups and reduced hypoglycaemia in the liraglutide group.</w:t>
      </w:r>
      <w:r w:rsidR="009A14A2" w:rsidRPr="0088604E">
        <w:rPr>
          <w:rFonts w:ascii="Arial" w:hAnsi="Arial" w:cs="Arial"/>
          <w:vertAlign w:val="superscript"/>
        </w:rPr>
        <w:t>4</w:t>
      </w:r>
      <w:r w:rsidR="002E24C6" w:rsidRPr="0088604E">
        <w:rPr>
          <w:rFonts w:ascii="Arial" w:hAnsi="Arial" w:cs="Arial"/>
        </w:rPr>
        <w:t xml:space="preserve"> A small number of case reports have examined the use of other GLP-1’s in HNF-1a MODY</w:t>
      </w:r>
      <w:r w:rsidR="009A14A2" w:rsidRPr="0088604E">
        <w:rPr>
          <w:rFonts w:ascii="Arial" w:hAnsi="Arial" w:cs="Arial"/>
        </w:rPr>
        <w:t xml:space="preserve">. </w:t>
      </w:r>
      <w:r w:rsidR="009A14A2" w:rsidRPr="0088604E">
        <w:rPr>
          <w:rFonts w:ascii="Arial" w:hAnsi="Arial" w:cs="Arial"/>
          <w:vertAlign w:val="superscript"/>
        </w:rPr>
        <w:t>5</w:t>
      </w:r>
      <w:r w:rsidRPr="0088604E">
        <w:rPr>
          <w:rFonts w:ascii="Arial" w:hAnsi="Arial" w:cs="Arial"/>
          <w:vertAlign w:val="superscript"/>
        </w:rPr>
        <w:t xml:space="preserve"> </w:t>
      </w:r>
      <w:r w:rsidRPr="0088604E">
        <w:rPr>
          <w:rFonts w:ascii="Arial" w:hAnsi="Arial" w:cs="Arial"/>
        </w:rPr>
        <w:t xml:space="preserve">This case adds to emerging evidence regarding the use of GLP-1 RA in </w:t>
      </w:r>
      <w:r w:rsidR="00826685" w:rsidRPr="0088604E">
        <w:rPr>
          <w:rFonts w:ascii="Arial" w:hAnsi="Arial" w:cs="Arial"/>
        </w:rPr>
        <w:t>HNF1-a MODY</w:t>
      </w:r>
      <w:r w:rsidRPr="0088604E">
        <w:rPr>
          <w:rFonts w:ascii="Arial" w:hAnsi="Arial" w:cs="Arial"/>
        </w:rPr>
        <w:t xml:space="preserve">. </w:t>
      </w:r>
    </w:p>
    <w:p w14:paraId="23D09428" w14:textId="77777777" w:rsidR="0088604E" w:rsidRDefault="0088604E" w:rsidP="0088604E">
      <w:pPr>
        <w:rPr>
          <w:rFonts w:ascii="Arial" w:hAnsi="Arial" w:cs="Arial"/>
          <w:b/>
          <w:bCs/>
          <w:sz w:val="18"/>
          <w:szCs w:val="18"/>
        </w:rPr>
      </w:pPr>
    </w:p>
    <w:p w14:paraId="3B4D217D" w14:textId="77777777" w:rsidR="001B1447" w:rsidRPr="0088604E" w:rsidRDefault="001B1447" w:rsidP="0088604E">
      <w:pPr>
        <w:rPr>
          <w:rFonts w:ascii="Arial" w:hAnsi="Arial" w:cs="Arial"/>
          <w:b/>
          <w:bCs/>
          <w:sz w:val="18"/>
          <w:szCs w:val="18"/>
        </w:rPr>
      </w:pPr>
      <w:r w:rsidRPr="0088604E">
        <w:rPr>
          <w:rFonts w:ascii="Arial" w:hAnsi="Arial" w:cs="Arial"/>
          <w:b/>
          <w:bCs/>
          <w:sz w:val="18"/>
          <w:szCs w:val="18"/>
        </w:rPr>
        <w:t>References</w:t>
      </w:r>
    </w:p>
    <w:p w14:paraId="2F2DF09A" w14:textId="2D1EDC83" w:rsidR="00812C1E" w:rsidRPr="0088604E" w:rsidRDefault="001B1447" w:rsidP="0088604E">
      <w:pPr>
        <w:rPr>
          <w:rFonts w:ascii="Arial" w:hAnsi="Arial" w:cs="Arial"/>
          <w:sz w:val="18"/>
          <w:szCs w:val="18"/>
        </w:rPr>
      </w:pPr>
      <w:r w:rsidRPr="0088604E">
        <w:rPr>
          <w:rFonts w:ascii="Arial" w:hAnsi="Arial" w:cs="Arial"/>
          <w:sz w:val="18"/>
          <w:szCs w:val="18"/>
        </w:rPr>
        <w:t xml:space="preserve">1. </w:t>
      </w:r>
      <w:proofErr w:type="spellStart"/>
      <w:r w:rsidR="00812C1E" w:rsidRPr="0088604E">
        <w:rPr>
          <w:rFonts w:ascii="Arial" w:hAnsi="Arial" w:cs="Arial"/>
          <w:sz w:val="18"/>
          <w:szCs w:val="18"/>
        </w:rPr>
        <w:t>Anık</w:t>
      </w:r>
      <w:proofErr w:type="spellEnd"/>
      <w:r w:rsidR="00812C1E" w:rsidRPr="0088604E">
        <w:rPr>
          <w:rFonts w:ascii="Arial" w:hAnsi="Arial" w:cs="Arial"/>
          <w:sz w:val="18"/>
          <w:szCs w:val="18"/>
        </w:rPr>
        <w:t xml:space="preserve"> A, </w:t>
      </w:r>
      <w:proofErr w:type="spellStart"/>
      <w:r w:rsidR="00812C1E" w:rsidRPr="0088604E">
        <w:rPr>
          <w:rFonts w:ascii="Arial" w:hAnsi="Arial" w:cs="Arial"/>
          <w:sz w:val="18"/>
          <w:szCs w:val="18"/>
        </w:rPr>
        <w:t>Çatlı</w:t>
      </w:r>
      <w:proofErr w:type="spellEnd"/>
      <w:r w:rsidR="00812C1E" w:rsidRPr="0088604E">
        <w:rPr>
          <w:rFonts w:ascii="Arial" w:hAnsi="Arial" w:cs="Arial"/>
          <w:sz w:val="18"/>
          <w:szCs w:val="18"/>
        </w:rPr>
        <w:t xml:space="preserve"> G, Abacı A, </w:t>
      </w:r>
      <w:proofErr w:type="spellStart"/>
      <w:r w:rsidR="00812C1E" w:rsidRPr="0088604E">
        <w:rPr>
          <w:rFonts w:ascii="Arial" w:hAnsi="Arial" w:cs="Arial"/>
          <w:sz w:val="18"/>
          <w:szCs w:val="18"/>
        </w:rPr>
        <w:t>Böber</w:t>
      </w:r>
      <w:proofErr w:type="spellEnd"/>
      <w:r w:rsidR="00812C1E" w:rsidRPr="0088604E">
        <w:rPr>
          <w:rFonts w:ascii="Arial" w:hAnsi="Arial" w:cs="Arial"/>
          <w:sz w:val="18"/>
          <w:szCs w:val="18"/>
        </w:rPr>
        <w:t xml:space="preserve"> E. Maturity-onset diabetes of the young (MODY): an update. J Pediatr Endocrinol </w:t>
      </w:r>
      <w:proofErr w:type="spellStart"/>
      <w:r w:rsidR="00812C1E" w:rsidRPr="0088604E">
        <w:rPr>
          <w:rFonts w:ascii="Arial" w:hAnsi="Arial" w:cs="Arial"/>
          <w:sz w:val="18"/>
          <w:szCs w:val="18"/>
        </w:rPr>
        <w:t>Metab</w:t>
      </w:r>
      <w:proofErr w:type="spellEnd"/>
      <w:r w:rsidR="00812C1E" w:rsidRPr="0088604E">
        <w:rPr>
          <w:rFonts w:ascii="Arial" w:hAnsi="Arial" w:cs="Arial"/>
          <w:sz w:val="18"/>
          <w:szCs w:val="18"/>
        </w:rPr>
        <w:t>. 2015;28(3-4):251-263. doi:10.1515/jpem-2014-0384</w:t>
      </w:r>
    </w:p>
    <w:p w14:paraId="15D657A2" w14:textId="4AC8D127" w:rsidR="008427FA" w:rsidRPr="0088604E" w:rsidRDefault="00861672" w:rsidP="0088604E">
      <w:pPr>
        <w:rPr>
          <w:rFonts w:ascii="Arial" w:hAnsi="Arial" w:cs="Arial"/>
          <w:sz w:val="18"/>
          <w:szCs w:val="18"/>
        </w:rPr>
      </w:pPr>
      <w:r w:rsidRPr="0088604E">
        <w:rPr>
          <w:rFonts w:ascii="Arial" w:hAnsi="Arial" w:cs="Arial"/>
          <w:sz w:val="18"/>
          <w:szCs w:val="18"/>
        </w:rPr>
        <w:t>2. Fajans SS, Bell GI, Polonsky KS. Molecular mechanisms and clinical pathophysiology of maturity-onset diabetes of the young. N Engl J Med. 2001;345(13):971-980. doi:10.1056/NEJMra002168</w:t>
      </w:r>
    </w:p>
    <w:p w14:paraId="2C37D29A" w14:textId="03A7EB72" w:rsidR="002E24C6" w:rsidRPr="0088604E" w:rsidRDefault="002E24C6" w:rsidP="0088604E">
      <w:pPr>
        <w:rPr>
          <w:rFonts w:ascii="Arial" w:hAnsi="Arial" w:cs="Arial"/>
          <w:sz w:val="18"/>
          <w:szCs w:val="18"/>
        </w:rPr>
      </w:pPr>
      <w:r w:rsidRPr="0088604E">
        <w:rPr>
          <w:rFonts w:ascii="Arial" w:hAnsi="Arial" w:cs="Arial"/>
          <w:sz w:val="18"/>
          <w:szCs w:val="18"/>
        </w:rPr>
        <w:t xml:space="preserve">3. Zhao Q, Ding L, Yang Y, et al. Clinical Characteristics of Patients </w:t>
      </w:r>
      <w:proofErr w:type="gramStart"/>
      <w:r w:rsidRPr="0088604E">
        <w:rPr>
          <w:rFonts w:ascii="Arial" w:hAnsi="Arial" w:cs="Arial"/>
          <w:sz w:val="18"/>
          <w:szCs w:val="18"/>
        </w:rPr>
        <w:t>With</w:t>
      </w:r>
      <w:proofErr w:type="gramEnd"/>
      <w:r w:rsidRPr="0088604E">
        <w:rPr>
          <w:rFonts w:ascii="Arial" w:hAnsi="Arial" w:cs="Arial"/>
          <w:sz w:val="18"/>
          <w:szCs w:val="18"/>
        </w:rPr>
        <w:t xml:space="preserve"> HNF1-alpha MODY: A Literature Review and Retrospective Chart Review. Front Endocrinol (Lausanne). </w:t>
      </w:r>
      <w:proofErr w:type="gramStart"/>
      <w:r w:rsidRPr="0088604E">
        <w:rPr>
          <w:rFonts w:ascii="Arial" w:hAnsi="Arial" w:cs="Arial"/>
          <w:sz w:val="18"/>
          <w:szCs w:val="18"/>
        </w:rPr>
        <w:t>2022;13:900489</w:t>
      </w:r>
      <w:proofErr w:type="gramEnd"/>
      <w:r w:rsidRPr="0088604E">
        <w:rPr>
          <w:rFonts w:ascii="Arial" w:hAnsi="Arial" w:cs="Arial"/>
          <w:sz w:val="18"/>
          <w:szCs w:val="18"/>
        </w:rPr>
        <w:t>. Published 2022 Jun 20. doi:10.3389/fendo.2022.900489</w:t>
      </w:r>
    </w:p>
    <w:p w14:paraId="39DB6F49" w14:textId="49E00C75" w:rsidR="001B1447" w:rsidRPr="0088604E" w:rsidRDefault="001B1447" w:rsidP="0088604E">
      <w:pPr>
        <w:rPr>
          <w:rFonts w:ascii="Arial" w:hAnsi="Arial" w:cs="Arial"/>
          <w:sz w:val="18"/>
          <w:szCs w:val="18"/>
          <w:lang w:val="en-AU"/>
        </w:rPr>
      </w:pPr>
      <w:r w:rsidRPr="0088604E">
        <w:rPr>
          <w:rFonts w:ascii="Arial" w:hAnsi="Arial" w:cs="Arial"/>
          <w:sz w:val="18"/>
          <w:szCs w:val="18"/>
        </w:rPr>
        <w:t xml:space="preserve">4. </w:t>
      </w:r>
      <w:r w:rsidRPr="0088604E">
        <w:rPr>
          <w:rFonts w:ascii="Arial" w:hAnsi="Arial" w:cs="Arial"/>
          <w:sz w:val="18"/>
          <w:szCs w:val="18"/>
          <w:lang w:val="en-AU"/>
        </w:rPr>
        <w:t xml:space="preserve">Østoft SH, Bagger JI, Hansen T, et al. Glucose-lowering effects and low risk of </w:t>
      </w:r>
      <w:proofErr w:type="spellStart"/>
      <w:r w:rsidRPr="0088604E">
        <w:rPr>
          <w:rFonts w:ascii="Arial" w:hAnsi="Arial" w:cs="Arial"/>
          <w:sz w:val="18"/>
          <w:szCs w:val="18"/>
          <w:lang w:val="en-AU"/>
        </w:rPr>
        <w:t>hypoglycemia</w:t>
      </w:r>
      <w:proofErr w:type="spellEnd"/>
      <w:r w:rsidRPr="0088604E">
        <w:rPr>
          <w:rFonts w:ascii="Arial" w:hAnsi="Arial" w:cs="Arial"/>
          <w:sz w:val="18"/>
          <w:szCs w:val="18"/>
          <w:lang w:val="en-AU"/>
        </w:rPr>
        <w:t xml:space="preserve"> in patients with maturity-onset diabetes of the young when treated with a GLP-1 receptor agonist: a double-blind, randomized, crossover trial. </w:t>
      </w:r>
      <w:r w:rsidRPr="0088604E">
        <w:rPr>
          <w:rFonts w:ascii="Arial" w:hAnsi="Arial" w:cs="Arial"/>
          <w:i/>
          <w:iCs/>
          <w:sz w:val="18"/>
          <w:szCs w:val="18"/>
          <w:lang w:val="en-AU"/>
        </w:rPr>
        <w:t>Diabetes Care</w:t>
      </w:r>
      <w:r w:rsidRPr="0088604E">
        <w:rPr>
          <w:rFonts w:ascii="Arial" w:hAnsi="Arial" w:cs="Arial"/>
          <w:sz w:val="18"/>
          <w:szCs w:val="18"/>
          <w:lang w:val="en-AU"/>
        </w:rPr>
        <w:t>. 2014;37(7):1797-1805. doi:10.2337/dc13-3007</w:t>
      </w:r>
    </w:p>
    <w:p w14:paraId="567C2EC9" w14:textId="25779959" w:rsidR="009A14A2" w:rsidRPr="0088604E" w:rsidRDefault="009A14A2" w:rsidP="0088604E">
      <w:pPr>
        <w:rPr>
          <w:rFonts w:ascii="Arial" w:hAnsi="Arial" w:cs="Arial"/>
          <w:sz w:val="18"/>
          <w:szCs w:val="18"/>
        </w:rPr>
      </w:pPr>
      <w:r w:rsidRPr="0088604E">
        <w:rPr>
          <w:rFonts w:ascii="Arial" w:hAnsi="Arial" w:cs="Arial"/>
          <w:sz w:val="18"/>
          <w:szCs w:val="18"/>
        </w:rPr>
        <w:t xml:space="preserve">5. </w:t>
      </w:r>
      <w:proofErr w:type="spellStart"/>
      <w:r w:rsidRPr="0088604E">
        <w:rPr>
          <w:rFonts w:ascii="Arial" w:hAnsi="Arial" w:cs="Arial"/>
          <w:sz w:val="18"/>
          <w:szCs w:val="18"/>
        </w:rPr>
        <w:t>Müssig</w:t>
      </w:r>
      <w:proofErr w:type="spellEnd"/>
      <w:r w:rsidRPr="0088604E">
        <w:rPr>
          <w:rFonts w:ascii="Arial" w:hAnsi="Arial" w:cs="Arial"/>
          <w:sz w:val="18"/>
          <w:szCs w:val="18"/>
        </w:rPr>
        <w:t xml:space="preserve"> K. Novel Treatment Options in Patients with Maturity-Onset Diabetes of the Young. Exp Clin Endocrinol Diabetes. 2025;133(1):51-58. doi:10.1055/a-2436-7723</w:t>
      </w:r>
    </w:p>
    <w:p w14:paraId="37D731FE" w14:textId="77777777" w:rsidR="007710D3" w:rsidRPr="0088604E" w:rsidRDefault="007710D3" w:rsidP="0088604E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A76E6"/>
    <w:rsid w:val="001B1447"/>
    <w:rsid w:val="0028124D"/>
    <w:rsid w:val="002E24C6"/>
    <w:rsid w:val="00376B39"/>
    <w:rsid w:val="004E09DD"/>
    <w:rsid w:val="005F1E09"/>
    <w:rsid w:val="006A7B9E"/>
    <w:rsid w:val="007244F0"/>
    <w:rsid w:val="007710D3"/>
    <w:rsid w:val="007B6DEB"/>
    <w:rsid w:val="00812C1E"/>
    <w:rsid w:val="00826685"/>
    <w:rsid w:val="00830A4D"/>
    <w:rsid w:val="008427FA"/>
    <w:rsid w:val="00861672"/>
    <w:rsid w:val="0088604E"/>
    <w:rsid w:val="008953CF"/>
    <w:rsid w:val="0091114E"/>
    <w:rsid w:val="0094780A"/>
    <w:rsid w:val="00992DE1"/>
    <w:rsid w:val="009A14A2"/>
    <w:rsid w:val="009A582D"/>
    <w:rsid w:val="009D79DB"/>
    <w:rsid w:val="00A72A60"/>
    <w:rsid w:val="00A85759"/>
    <w:rsid w:val="00AA3D57"/>
    <w:rsid w:val="00B10715"/>
    <w:rsid w:val="00BC73E4"/>
    <w:rsid w:val="00D56368"/>
    <w:rsid w:val="00DC711F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376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009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367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453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381B4625-D003-4895-A237-E2785B8C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2026-02-24T21:05:00Z</dcterms:created>
  <dcterms:modified xsi:type="dcterms:W3CDTF">2026-02-24T23:17:00Z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