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75E51" w14:textId="77777777" w:rsidR="00A05F3B" w:rsidRDefault="00A05F3B">
      <w:pPr>
        <w:rPr>
          <w:b/>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A05F3B" w:rsidRPr="006A3D97" w14:paraId="2D5F91E4" w14:textId="77777777">
        <w:tc>
          <w:tcPr>
            <w:tcW w:w="8640" w:type="dxa"/>
            <w:shd w:val="clear" w:color="auto" w:fill="F2F2F2"/>
          </w:tcPr>
          <w:p w14:paraId="27D8297C" w14:textId="6A8037B5" w:rsidR="006A3D97" w:rsidRPr="006A3D97" w:rsidRDefault="006A3D97">
            <w:pPr>
              <w:pStyle w:val="Title"/>
              <w:rPr>
                <w:rFonts w:ascii="Arial" w:hAnsi="Arial" w:cs="Arial"/>
                <w:bCs/>
                <w:i/>
                <w:iCs/>
                <w:sz w:val="24"/>
                <w:szCs w:val="24"/>
              </w:rPr>
            </w:pPr>
            <w:r w:rsidRPr="006A3D97">
              <w:rPr>
                <w:rFonts w:ascii="Arial" w:hAnsi="Arial" w:cs="Arial"/>
                <w:bCs/>
                <w:i/>
                <w:iCs/>
                <w:sz w:val="24"/>
                <w:szCs w:val="24"/>
              </w:rPr>
              <w:t>Paper</w:t>
            </w:r>
          </w:p>
          <w:p w14:paraId="7BA87BFF" w14:textId="77777777" w:rsidR="00A05F3B" w:rsidRDefault="006A3D97">
            <w:pPr>
              <w:pStyle w:val="Title"/>
              <w:rPr>
                <w:rFonts w:ascii="Arial" w:hAnsi="Arial" w:cs="Arial"/>
                <w:b/>
                <w:sz w:val="24"/>
                <w:szCs w:val="24"/>
              </w:rPr>
            </w:pPr>
            <w:r w:rsidRPr="006A3D97">
              <w:rPr>
                <w:rFonts w:ascii="Arial" w:hAnsi="Arial" w:cs="Arial"/>
                <w:b/>
                <w:sz w:val="24"/>
                <w:szCs w:val="24"/>
              </w:rPr>
              <w:t>From Rooftops to Resilience: Socio-Economic Determinants of Urban Agriculture in Indian Cities</w:t>
            </w:r>
          </w:p>
          <w:p w14:paraId="169A0286" w14:textId="6A35AA6E" w:rsidR="006A3D97" w:rsidRPr="006A3D97" w:rsidRDefault="006A3D97" w:rsidP="006A3D97">
            <w:pPr>
              <w:rPr>
                <w:rFonts w:eastAsia="Arial"/>
              </w:rPr>
            </w:pPr>
          </w:p>
        </w:tc>
      </w:tr>
      <w:tr w:rsidR="00A05F3B" w14:paraId="06660746" w14:textId="77777777">
        <w:trPr>
          <w:trHeight w:val="3124"/>
        </w:trPr>
        <w:tc>
          <w:tcPr>
            <w:tcW w:w="8640" w:type="dxa"/>
          </w:tcPr>
          <w:p w14:paraId="52842352" w14:textId="157CA095" w:rsidR="00A05F3B" w:rsidRDefault="006A3D97">
            <w:pPr>
              <w:jc w:val="both"/>
              <w:rPr>
                <w:rFonts w:ascii="Arial" w:eastAsia="Arial" w:hAnsi="Arial" w:cs="Arial"/>
                <w:b/>
                <w:sz w:val="22"/>
                <w:szCs w:val="22"/>
              </w:rPr>
            </w:pPr>
            <w:r>
              <w:rPr>
                <w:rFonts w:ascii="Arial" w:eastAsia="Arial" w:hAnsi="Arial" w:cs="Arial"/>
                <w:b/>
                <w:sz w:val="22"/>
                <w:szCs w:val="22"/>
              </w:rPr>
              <w:t>Introduction</w:t>
            </w:r>
          </w:p>
          <w:p w14:paraId="324BD0F7" w14:textId="77777777" w:rsidR="00A05F3B" w:rsidRPr="008501BA" w:rsidRDefault="006A3D97">
            <w:pPr>
              <w:jc w:val="both"/>
              <w:rPr>
                <w:rFonts w:ascii="Arial" w:hAnsi="Arial" w:cs="Arial"/>
                <w:sz w:val="22"/>
                <w:szCs w:val="22"/>
              </w:rPr>
            </w:pPr>
            <w:r w:rsidRPr="008501BA">
              <w:rPr>
                <w:rFonts w:ascii="Arial" w:hAnsi="Arial" w:cs="Arial"/>
                <w:sz w:val="22"/>
                <w:szCs w:val="22"/>
              </w:rPr>
              <w:t>With India projected to have nearly half of its population residing in urban areas by 2050</w:t>
            </w:r>
            <w:r w:rsidRPr="008501BA">
              <w:rPr>
                <w:rFonts w:ascii="Arial" w:hAnsi="Arial" w:cs="Arial"/>
                <w:b/>
                <w:sz w:val="22"/>
                <w:szCs w:val="22"/>
              </w:rPr>
              <w:t xml:space="preserve"> </w:t>
            </w:r>
            <w:r w:rsidRPr="008501BA">
              <w:rPr>
                <w:rFonts w:ascii="Arial" w:hAnsi="Arial" w:cs="Arial"/>
                <w:sz w:val="22"/>
                <w:szCs w:val="22"/>
              </w:rPr>
              <w:t>(UN DESA, 2019), the country is undergoing an unprecedented urban transition that presents significant socio-economic and environmental challenges. Amidst concerns over food security, land use, and urban sustainability</w:t>
            </w:r>
            <w:r w:rsidRPr="008501BA">
              <w:rPr>
                <w:rFonts w:ascii="Arial" w:hAnsi="Arial" w:cs="Arial"/>
                <w:b/>
                <w:sz w:val="22"/>
                <w:szCs w:val="22"/>
              </w:rPr>
              <w:t xml:space="preserve">, </w:t>
            </w:r>
            <w:r w:rsidRPr="008501BA">
              <w:rPr>
                <w:rFonts w:ascii="Arial" w:hAnsi="Arial" w:cs="Arial"/>
                <w:sz w:val="22"/>
                <w:szCs w:val="22"/>
              </w:rPr>
              <w:t>Urban Agriculture (UA)</w:t>
            </w:r>
            <w:r w:rsidRPr="008501BA">
              <w:rPr>
                <w:rFonts w:ascii="Arial" w:hAnsi="Arial" w:cs="Arial"/>
                <w:b/>
                <w:sz w:val="22"/>
                <w:szCs w:val="22"/>
              </w:rPr>
              <w:t xml:space="preserve"> </w:t>
            </w:r>
            <w:r w:rsidRPr="008501BA">
              <w:rPr>
                <w:rFonts w:ascii="Arial" w:hAnsi="Arial" w:cs="Arial"/>
                <w:sz w:val="22"/>
                <w:szCs w:val="22"/>
              </w:rPr>
              <w:t xml:space="preserve">has emerged as a viable intervention, integrating food production within urban settings while fostering resilience and well-being (Maxwell et al., 1999; </w:t>
            </w:r>
            <w:proofErr w:type="spellStart"/>
            <w:r w:rsidRPr="008501BA">
              <w:rPr>
                <w:rFonts w:ascii="Arial" w:hAnsi="Arial" w:cs="Arial"/>
                <w:sz w:val="22"/>
                <w:szCs w:val="22"/>
              </w:rPr>
              <w:t>Azunre</w:t>
            </w:r>
            <w:proofErr w:type="spellEnd"/>
            <w:r w:rsidRPr="008501BA">
              <w:rPr>
                <w:rFonts w:ascii="Arial" w:hAnsi="Arial" w:cs="Arial"/>
                <w:sz w:val="22"/>
                <w:szCs w:val="22"/>
              </w:rPr>
              <w:t xml:space="preserve"> et al., 2019; Rao et al., 2022). However, the socio-economic dimensions influencing UA adoption remain under</w:t>
            </w:r>
            <w:r w:rsidRPr="008501BA">
              <w:rPr>
                <w:rFonts w:ascii="Arial" w:hAnsi="Arial" w:cs="Arial"/>
                <w:sz w:val="22"/>
                <w:szCs w:val="22"/>
              </w:rPr>
              <w:t>explored</w:t>
            </w:r>
            <w:r w:rsidRPr="008501BA">
              <w:rPr>
                <w:rFonts w:ascii="Arial" w:hAnsi="Arial" w:cs="Arial"/>
                <w:b/>
                <w:sz w:val="22"/>
                <w:szCs w:val="22"/>
              </w:rPr>
              <w:t>.</w:t>
            </w:r>
            <w:r w:rsidRPr="008501BA">
              <w:rPr>
                <w:rFonts w:ascii="Arial" w:hAnsi="Arial" w:cs="Arial"/>
                <w:sz w:val="22"/>
                <w:szCs w:val="22"/>
              </w:rPr>
              <w:t xml:space="preserve"> </w:t>
            </w:r>
          </w:p>
          <w:p w14:paraId="219C54D8" w14:textId="77777777" w:rsidR="00A05F3B" w:rsidRDefault="00A05F3B">
            <w:pPr>
              <w:jc w:val="both"/>
              <w:rPr>
                <w:rFonts w:ascii="Arial" w:eastAsia="Arial" w:hAnsi="Arial" w:cs="Arial"/>
                <w:b/>
                <w:sz w:val="22"/>
                <w:szCs w:val="22"/>
              </w:rPr>
            </w:pPr>
          </w:p>
          <w:p w14:paraId="056FB664" w14:textId="77777777" w:rsidR="00A05F3B" w:rsidRDefault="006A3D97">
            <w:pPr>
              <w:jc w:val="both"/>
              <w:rPr>
                <w:rFonts w:ascii="Arial" w:eastAsia="Arial" w:hAnsi="Arial" w:cs="Arial"/>
                <w:b/>
                <w:sz w:val="22"/>
                <w:szCs w:val="22"/>
              </w:rPr>
            </w:pPr>
            <w:r>
              <w:rPr>
                <w:rFonts w:ascii="Arial" w:eastAsia="Arial" w:hAnsi="Arial" w:cs="Arial"/>
                <w:b/>
                <w:sz w:val="22"/>
                <w:szCs w:val="22"/>
              </w:rPr>
              <w:t xml:space="preserve">Objectives </w:t>
            </w:r>
          </w:p>
          <w:p w14:paraId="29B4DE97" w14:textId="77777777" w:rsidR="00A05F3B" w:rsidRPr="008501BA" w:rsidRDefault="006A3D97">
            <w:pPr>
              <w:jc w:val="both"/>
              <w:rPr>
                <w:rFonts w:ascii="Arial" w:hAnsi="Arial" w:cs="Arial"/>
                <w:sz w:val="22"/>
                <w:szCs w:val="22"/>
              </w:rPr>
            </w:pPr>
            <w:r w:rsidRPr="008501BA">
              <w:rPr>
                <w:rFonts w:ascii="Arial" w:hAnsi="Arial" w:cs="Arial"/>
                <w:sz w:val="22"/>
                <w:szCs w:val="22"/>
              </w:rPr>
              <w:t>The primary objective of this study is to examine the socio-economic factors that shape UA in Indian cities, assess their impact on participation, sustainability, and urban resilience, and propose policy recommendations for effectively integrating UA into urban planning frameworks.</w:t>
            </w:r>
          </w:p>
          <w:p w14:paraId="1ACC0C8B" w14:textId="77777777" w:rsidR="00A05F3B" w:rsidRPr="008501BA" w:rsidRDefault="00A05F3B">
            <w:pPr>
              <w:jc w:val="both"/>
              <w:rPr>
                <w:rFonts w:ascii="Arial" w:hAnsi="Arial" w:cs="Arial"/>
                <w:sz w:val="22"/>
                <w:szCs w:val="22"/>
              </w:rPr>
            </w:pPr>
          </w:p>
          <w:p w14:paraId="2109E120" w14:textId="77777777" w:rsidR="00A05F3B" w:rsidRDefault="006A3D97">
            <w:pPr>
              <w:jc w:val="both"/>
              <w:rPr>
                <w:rFonts w:ascii="Arial" w:eastAsia="Arial" w:hAnsi="Arial" w:cs="Arial"/>
                <w:b/>
                <w:sz w:val="22"/>
                <w:szCs w:val="22"/>
              </w:rPr>
            </w:pPr>
            <w:r>
              <w:rPr>
                <w:rFonts w:ascii="Arial" w:eastAsia="Arial" w:hAnsi="Arial" w:cs="Arial"/>
                <w:b/>
                <w:sz w:val="22"/>
                <w:szCs w:val="22"/>
              </w:rPr>
              <w:t>Methodology</w:t>
            </w:r>
          </w:p>
          <w:p w14:paraId="2E15EBE9" w14:textId="2C9D21E2" w:rsidR="008501BA" w:rsidRPr="008501BA" w:rsidRDefault="008501BA">
            <w:pPr>
              <w:jc w:val="both"/>
              <w:rPr>
                <w:rFonts w:ascii="Arial" w:hAnsi="Arial" w:cs="Arial"/>
                <w:sz w:val="22"/>
                <w:szCs w:val="22"/>
              </w:rPr>
            </w:pPr>
            <w:r w:rsidRPr="008501BA">
              <w:rPr>
                <w:rFonts w:ascii="Arial" w:hAnsi="Arial" w:cs="Arial"/>
                <w:sz w:val="22"/>
                <w:szCs w:val="22"/>
              </w:rPr>
              <w:t xml:space="preserve">This research employs a mixed-method approach, using primary data from the </w:t>
            </w:r>
            <w:r w:rsidRPr="008501BA">
              <w:rPr>
                <w:rFonts w:ascii="Arial" w:hAnsi="Arial" w:cs="Arial"/>
                <w:i/>
                <w:iCs/>
                <w:sz w:val="22"/>
                <w:szCs w:val="22"/>
              </w:rPr>
              <w:t xml:space="preserve">Urban and Peri-Urban Agriculture as Green Infrastructure </w:t>
            </w:r>
            <w:r w:rsidRPr="008501BA">
              <w:rPr>
                <w:rFonts w:ascii="Arial" w:hAnsi="Arial" w:cs="Arial"/>
                <w:sz w:val="22"/>
                <w:szCs w:val="22"/>
              </w:rPr>
              <w:t>(</w:t>
            </w:r>
            <w:proofErr w:type="spellStart"/>
            <w:r w:rsidRPr="008501BA">
              <w:rPr>
                <w:rFonts w:ascii="Arial" w:hAnsi="Arial" w:cs="Arial"/>
                <w:sz w:val="22"/>
                <w:szCs w:val="22"/>
              </w:rPr>
              <w:t>UPAGrI</w:t>
            </w:r>
            <w:proofErr w:type="spellEnd"/>
            <w:r w:rsidRPr="008501BA">
              <w:rPr>
                <w:rFonts w:ascii="Arial" w:hAnsi="Arial" w:cs="Arial"/>
                <w:sz w:val="22"/>
                <w:szCs w:val="22"/>
              </w:rPr>
              <w:t>) study. Data collection included an online survey (2021–2022) across 29 Indian cities (441 responses from formal and informal settlements), 50 key informant interviews in Bengaluru and Pune, and stakeholder engagement with NGOs, policymakers, and community organizations. A policy and literature review, along with insights from an online exhibition, enriched the analysis. Quantitative statistical visualization and qualitative thematic analysis were combined for a multidimensional understanding of UA’s socio-economic landscape.</w:t>
            </w:r>
          </w:p>
          <w:p w14:paraId="130E5E0C" w14:textId="2329B624" w:rsidR="00A05F3B" w:rsidRDefault="00A05F3B">
            <w:pPr>
              <w:jc w:val="both"/>
            </w:pPr>
          </w:p>
          <w:p w14:paraId="293AA889" w14:textId="77777777" w:rsidR="00A05F3B" w:rsidRDefault="00A05F3B">
            <w:pPr>
              <w:jc w:val="both"/>
            </w:pPr>
          </w:p>
          <w:p w14:paraId="4A604FC2" w14:textId="77777777" w:rsidR="00A05F3B" w:rsidRDefault="006A3D97">
            <w:pPr>
              <w:jc w:val="center"/>
            </w:pPr>
            <w:r>
              <w:rPr>
                <w:noProof/>
              </w:rPr>
              <w:drawing>
                <wp:inline distT="114300" distB="114300" distL="114300" distR="114300" wp14:anchorId="327269AF" wp14:editId="6A4D3903">
                  <wp:extent cx="4057650" cy="22773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057650" cy="2277345"/>
                          </a:xfrm>
                          <a:prstGeom prst="rect">
                            <a:avLst/>
                          </a:prstGeom>
                          <a:ln/>
                        </pic:spPr>
                      </pic:pic>
                    </a:graphicData>
                  </a:graphic>
                </wp:inline>
              </w:drawing>
            </w:r>
          </w:p>
          <w:p w14:paraId="6BE0A3F5" w14:textId="77777777" w:rsidR="00A05F3B" w:rsidRPr="008501BA" w:rsidRDefault="006A3D97">
            <w:pPr>
              <w:jc w:val="center"/>
              <w:rPr>
                <w:rFonts w:ascii="Arial" w:hAnsi="Arial" w:cs="Arial"/>
                <w:i/>
              </w:rPr>
            </w:pPr>
            <w:r w:rsidRPr="008501BA">
              <w:rPr>
                <w:rFonts w:ascii="Arial" w:hAnsi="Arial" w:cs="Arial"/>
                <w:i/>
              </w:rPr>
              <w:t>Figure 1: Depicting socio-economic determinants of UA practices. Source: Authors’ depiction</w:t>
            </w:r>
          </w:p>
          <w:p w14:paraId="23FEF015" w14:textId="77777777" w:rsidR="00A05F3B" w:rsidRPr="008501BA" w:rsidRDefault="006A3D97">
            <w:pPr>
              <w:spacing w:line="276" w:lineRule="auto"/>
              <w:jc w:val="center"/>
              <w:rPr>
                <w:rFonts w:ascii="Arial" w:eastAsia="Arial" w:hAnsi="Arial" w:cs="Arial"/>
                <w:b/>
              </w:rPr>
            </w:pPr>
            <w:r w:rsidRPr="008501BA">
              <w:rPr>
                <w:rFonts w:ascii="Arial" w:hAnsi="Arial" w:cs="Arial"/>
                <w:i/>
              </w:rPr>
              <w:t>(adapted from Alemu et al., 2020)</w:t>
            </w:r>
          </w:p>
          <w:p w14:paraId="064D15B2" w14:textId="77777777" w:rsidR="00A05F3B" w:rsidRDefault="006A3D97">
            <w:pPr>
              <w:jc w:val="both"/>
              <w:rPr>
                <w:rFonts w:ascii="Arial" w:eastAsia="Arial" w:hAnsi="Arial" w:cs="Arial"/>
                <w:b/>
                <w:sz w:val="22"/>
                <w:szCs w:val="22"/>
              </w:rPr>
            </w:pPr>
            <w:r>
              <w:rPr>
                <w:rFonts w:ascii="Arial" w:eastAsia="Arial" w:hAnsi="Arial" w:cs="Arial"/>
                <w:b/>
                <w:sz w:val="22"/>
                <w:szCs w:val="22"/>
              </w:rPr>
              <w:t>Findings</w:t>
            </w:r>
          </w:p>
          <w:p w14:paraId="56460CC1" w14:textId="77777777" w:rsidR="00A05F3B" w:rsidRPr="008501BA" w:rsidRDefault="006A3D97">
            <w:pPr>
              <w:jc w:val="both"/>
              <w:rPr>
                <w:rFonts w:ascii="Arial" w:hAnsi="Arial" w:cs="Arial"/>
                <w:sz w:val="22"/>
                <w:szCs w:val="22"/>
              </w:rPr>
            </w:pPr>
            <w:r w:rsidRPr="008501BA">
              <w:rPr>
                <w:rFonts w:ascii="Arial" w:hAnsi="Arial" w:cs="Arial"/>
                <w:sz w:val="22"/>
                <w:szCs w:val="22"/>
              </w:rPr>
              <w:t xml:space="preserve">Findings indicate that three primary determinants shape UA adoption. </w:t>
            </w:r>
          </w:p>
          <w:p w14:paraId="58641FB4" w14:textId="77777777" w:rsidR="00A05F3B" w:rsidRPr="008501BA" w:rsidRDefault="006A3D97">
            <w:pPr>
              <w:numPr>
                <w:ilvl w:val="0"/>
                <w:numId w:val="2"/>
              </w:numPr>
              <w:jc w:val="both"/>
              <w:rPr>
                <w:rFonts w:ascii="Arial" w:hAnsi="Arial" w:cs="Arial"/>
                <w:sz w:val="22"/>
                <w:szCs w:val="22"/>
              </w:rPr>
            </w:pPr>
            <w:r w:rsidRPr="008501BA">
              <w:rPr>
                <w:rFonts w:ascii="Arial" w:hAnsi="Arial" w:cs="Arial"/>
                <w:sz w:val="22"/>
                <w:szCs w:val="22"/>
              </w:rPr>
              <w:lastRenderedPageBreak/>
              <w:t>Demographic factors such as age and gender influence participation, with middle-aged individuals (41–60 years) representing the largest group of practitioners. Men primarily engage in UA for economic and health benefits, whereas women’s participation is driven by food security, aesthetics, and household well-being.</w:t>
            </w:r>
          </w:p>
          <w:p w14:paraId="14212332" w14:textId="77777777" w:rsidR="00A05F3B" w:rsidRPr="008501BA" w:rsidRDefault="006A3D97">
            <w:pPr>
              <w:numPr>
                <w:ilvl w:val="0"/>
                <w:numId w:val="2"/>
              </w:numPr>
              <w:jc w:val="both"/>
              <w:rPr>
                <w:rFonts w:ascii="Arial" w:hAnsi="Arial" w:cs="Arial"/>
                <w:sz w:val="22"/>
                <w:szCs w:val="22"/>
              </w:rPr>
            </w:pPr>
            <w:r w:rsidRPr="008501BA">
              <w:rPr>
                <w:rFonts w:ascii="Arial" w:hAnsi="Arial" w:cs="Arial"/>
                <w:sz w:val="22"/>
                <w:szCs w:val="22"/>
              </w:rPr>
              <w:t xml:space="preserve">Contextual factors such as land tenure, resource availability, income, and social networks significantly impact UA adoption. Limited land access in informal settlements constrains large-scale UA, while wealthier urban residents invest in hydroponics and advanced farming techniques. Additionally, access to essential inputs such as soil, seeds, fertilizers, and training dictates UA’s feasibility and success. </w:t>
            </w:r>
          </w:p>
          <w:p w14:paraId="564FF0BB" w14:textId="77777777" w:rsidR="00A05F3B" w:rsidRPr="008501BA" w:rsidRDefault="006A3D97">
            <w:pPr>
              <w:numPr>
                <w:ilvl w:val="0"/>
                <w:numId w:val="2"/>
              </w:numPr>
              <w:jc w:val="both"/>
              <w:rPr>
                <w:rFonts w:ascii="Arial" w:hAnsi="Arial" w:cs="Arial"/>
                <w:sz w:val="22"/>
                <w:szCs w:val="22"/>
              </w:rPr>
            </w:pPr>
            <w:r w:rsidRPr="008501BA">
              <w:rPr>
                <w:rFonts w:ascii="Arial" w:hAnsi="Arial" w:cs="Arial"/>
                <w:sz w:val="22"/>
                <w:szCs w:val="22"/>
              </w:rPr>
              <w:t>Inherent factors, including attitudes, perceptions, and knowledge systems, further shape UA engagement. Individuals with farming backgrounds demonstrate greater resilience, while amateur urban farmers rely on workshops and peer learning for knowledge transfer (Singh et al., 2021). Positive perceptions of UA’s benefits—such as enhanced nutrition, mental well-being, and social cohesion—motivate engagement, whereas skepticism surrounding economic sustainability deters some urban residents (</w:t>
            </w:r>
            <w:proofErr w:type="spellStart"/>
            <w:r w:rsidRPr="008501BA">
              <w:rPr>
                <w:rFonts w:ascii="Arial" w:hAnsi="Arial" w:cs="Arial"/>
                <w:sz w:val="22"/>
                <w:szCs w:val="22"/>
              </w:rPr>
              <w:t>Koduganti</w:t>
            </w:r>
            <w:proofErr w:type="spellEnd"/>
            <w:r w:rsidRPr="008501BA">
              <w:rPr>
                <w:rFonts w:ascii="Arial" w:hAnsi="Arial" w:cs="Arial"/>
                <w:sz w:val="22"/>
                <w:szCs w:val="22"/>
              </w:rPr>
              <w:t xml:space="preserve"> &amp; Singh, 2022).</w:t>
            </w:r>
          </w:p>
          <w:p w14:paraId="53D31F48" w14:textId="77777777" w:rsidR="00A05F3B" w:rsidRDefault="00A05F3B">
            <w:pPr>
              <w:jc w:val="both"/>
              <w:rPr>
                <w:rFonts w:ascii="Arial" w:eastAsia="Arial" w:hAnsi="Arial" w:cs="Arial"/>
                <w:b/>
                <w:sz w:val="22"/>
                <w:szCs w:val="22"/>
              </w:rPr>
            </w:pPr>
          </w:p>
          <w:p w14:paraId="35DB745B" w14:textId="0B9A9A15" w:rsidR="008501BA" w:rsidRDefault="006A3D97">
            <w:pPr>
              <w:jc w:val="both"/>
              <w:rPr>
                <w:rFonts w:ascii="Arial" w:eastAsia="Arial" w:hAnsi="Arial" w:cs="Arial"/>
                <w:b/>
                <w:sz w:val="22"/>
                <w:szCs w:val="22"/>
              </w:rPr>
            </w:pPr>
            <w:r>
              <w:rPr>
                <w:rFonts w:ascii="Arial" w:eastAsia="Arial" w:hAnsi="Arial" w:cs="Arial"/>
                <w:b/>
                <w:sz w:val="22"/>
                <w:szCs w:val="22"/>
              </w:rPr>
              <w:t xml:space="preserve">Significance of the work for policy and practice </w:t>
            </w:r>
          </w:p>
          <w:p w14:paraId="3C6A8641" w14:textId="410583FE" w:rsidR="008501BA" w:rsidRPr="008501BA" w:rsidRDefault="008501BA">
            <w:pPr>
              <w:jc w:val="both"/>
              <w:rPr>
                <w:rFonts w:ascii="Arial" w:hAnsi="Arial" w:cs="Arial"/>
                <w:sz w:val="22"/>
                <w:szCs w:val="22"/>
              </w:rPr>
            </w:pPr>
            <w:r w:rsidRPr="008501BA">
              <w:rPr>
                <w:rFonts w:ascii="Arial" w:hAnsi="Arial" w:cs="Arial"/>
                <w:sz w:val="22"/>
                <w:szCs w:val="22"/>
              </w:rPr>
              <w:t>This study highlights the urgent need for policy interventions to integrate UA into India’s urban planning. Key recommendations include tax incentives, land access for urban farmers, expanded municipal support, and peer-learning networks (Roy &amp; Rao, 2021; Kiran et al., 2022). Recognizing UA as green infrastructure can enhance food security, sustainability, and resilience, making cities more equitable and climate adaptive. Addressing socio-economic barriers and optimizing urban resources can position UA as a key transformative force of sustainable urban development.</w:t>
            </w:r>
          </w:p>
          <w:p w14:paraId="50861470" w14:textId="77777777" w:rsidR="00A05F3B" w:rsidRDefault="00A05F3B">
            <w:pPr>
              <w:jc w:val="both"/>
            </w:pPr>
          </w:p>
          <w:p w14:paraId="42CAFEBA" w14:textId="77777777" w:rsidR="00A05F3B" w:rsidRDefault="006A3D97">
            <w:pPr>
              <w:jc w:val="both"/>
              <w:rPr>
                <w:rFonts w:ascii="Arial" w:eastAsia="Arial" w:hAnsi="Arial" w:cs="Arial"/>
                <w:b/>
                <w:sz w:val="22"/>
                <w:szCs w:val="22"/>
              </w:rPr>
            </w:pPr>
            <w:r>
              <w:rPr>
                <w:rFonts w:ascii="Arial" w:eastAsia="Arial" w:hAnsi="Arial" w:cs="Arial"/>
                <w:b/>
                <w:sz w:val="22"/>
                <w:szCs w:val="22"/>
              </w:rPr>
              <w:t xml:space="preserve">References: </w:t>
            </w:r>
          </w:p>
          <w:p w14:paraId="009B10F2" w14:textId="77777777" w:rsidR="00A05F3B" w:rsidRPr="008501BA" w:rsidRDefault="006A3D97" w:rsidP="006A3D97">
            <w:pPr>
              <w:spacing w:line="276" w:lineRule="auto"/>
              <w:rPr>
                <w:rFonts w:ascii="Arial" w:eastAsia="Calibri" w:hAnsi="Arial" w:cs="Arial"/>
                <w:color w:val="202020"/>
                <w:sz w:val="22"/>
                <w:szCs w:val="22"/>
                <w:highlight w:val="white"/>
              </w:rPr>
            </w:pPr>
            <w:r w:rsidRPr="008501BA">
              <w:rPr>
                <w:rFonts w:ascii="Arial" w:hAnsi="Arial" w:cs="Arial"/>
                <w:color w:val="222222"/>
                <w:sz w:val="22"/>
                <w:szCs w:val="22"/>
                <w:highlight w:val="white"/>
              </w:rPr>
              <w:t xml:space="preserve">Alemu, M. H., &amp; </w:t>
            </w:r>
            <w:proofErr w:type="spellStart"/>
            <w:r w:rsidRPr="008501BA">
              <w:rPr>
                <w:rFonts w:ascii="Arial" w:hAnsi="Arial" w:cs="Arial"/>
                <w:color w:val="222222"/>
                <w:sz w:val="22"/>
                <w:szCs w:val="22"/>
                <w:highlight w:val="white"/>
              </w:rPr>
              <w:t>Grebitus</w:t>
            </w:r>
            <w:proofErr w:type="spellEnd"/>
            <w:r w:rsidRPr="008501BA">
              <w:rPr>
                <w:rFonts w:ascii="Arial" w:hAnsi="Arial" w:cs="Arial"/>
                <w:color w:val="222222"/>
                <w:sz w:val="22"/>
                <w:szCs w:val="22"/>
                <w:highlight w:val="white"/>
              </w:rPr>
              <w:t xml:space="preserve">, C. (2020). Towards sustainable urban food systems: Analyzing contextual and intrapsychic drivers of growing food in small-scale urban agriculture. </w:t>
            </w:r>
            <w:proofErr w:type="spellStart"/>
            <w:r w:rsidRPr="008501BA">
              <w:rPr>
                <w:rFonts w:ascii="Arial" w:hAnsi="Arial" w:cs="Arial"/>
                <w:i/>
                <w:color w:val="222222"/>
                <w:sz w:val="22"/>
                <w:szCs w:val="22"/>
                <w:highlight w:val="white"/>
              </w:rPr>
              <w:t>PloS</w:t>
            </w:r>
            <w:proofErr w:type="spellEnd"/>
            <w:r w:rsidRPr="008501BA">
              <w:rPr>
                <w:rFonts w:ascii="Arial" w:hAnsi="Arial" w:cs="Arial"/>
                <w:i/>
                <w:color w:val="222222"/>
                <w:sz w:val="22"/>
                <w:szCs w:val="22"/>
                <w:highlight w:val="white"/>
              </w:rPr>
              <w:t xml:space="preserve"> one</w:t>
            </w:r>
            <w:r w:rsidRPr="008501BA">
              <w:rPr>
                <w:rFonts w:ascii="Arial" w:hAnsi="Arial" w:cs="Arial"/>
                <w:color w:val="222222"/>
                <w:sz w:val="22"/>
                <w:szCs w:val="22"/>
                <w:highlight w:val="white"/>
              </w:rPr>
              <w:t xml:space="preserve">, </w:t>
            </w:r>
            <w:r w:rsidRPr="008501BA">
              <w:rPr>
                <w:rFonts w:ascii="Arial" w:hAnsi="Arial" w:cs="Arial"/>
                <w:i/>
                <w:color w:val="222222"/>
                <w:sz w:val="22"/>
                <w:szCs w:val="22"/>
                <w:highlight w:val="white"/>
              </w:rPr>
              <w:t>15</w:t>
            </w:r>
            <w:r w:rsidRPr="008501BA">
              <w:rPr>
                <w:rFonts w:ascii="Arial" w:hAnsi="Arial" w:cs="Arial"/>
                <w:color w:val="222222"/>
                <w:sz w:val="22"/>
                <w:szCs w:val="22"/>
                <w:highlight w:val="white"/>
              </w:rPr>
              <w:t>(12), e0243949.</w:t>
            </w:r>
            <w:hyperlink r:id="rId6">
              <w:r w:rsidR="00A05F3B" w:rsidRPr="008501BA">
                <w:rPr>
                  <w:rFonts w:ascii="Arial" w:hAnsi="Arial" w:cs="Arial"/>
                  <w:color w:val="222222"/>
                  <w:sz w:val="22"/>
                  <w:szCs w:val="22"/>
                  <w:highlight w:val="white"/>
                </w:rPr>
                <w:t xml:space="preserve"> </w:t>
              </w:r>
            </w:hyperlink>
            <w:hyperlink r:id="rId7">
              <w:r w:rsidR="00A05F3B" w:rsidRPr="008501BA">
                <w:rPr>
                  <w:rFonts w:ascii="Arial" w:hAnsi="Arial" w:cs="Arial"/>
                  <w:color w:val="1155CC"/>
                  <w:sz w:val="22"/>
                  <w:szCs w:val="22"/>
                  <w:highlight w:val="white"/>
                  <w:u w:val="single"/>
                </w:rPr>
                <w:t>https://doi.org/10.1371/journal.pone.0243949</w:t>
              </w:r>
            </w:hyperlink>
            <w:r w:rsidRPr="008501BA">
              <w:rPr>
                <w:rFonts w:ascii="Arial" w:hAnsi="Arial" w:cs="Arial"/>
                <w:color w:val="1155CC"/>
                <w:sz w:val="22"/>
                <w:szCs w:val="22"/>
                <w:highlight w:val="white"/>
                <w:u w:val="single"/>
              </w:rPr>
              <w:t xml:space="preserve">  </w:t>
            </w:r>
            <w:r w:rsidRPr="008501BA">
              <w:rPr>
                <w:rFonts w:ascii="Arial" w:eastAsia="Calibri" w:hAnsi="Arial" w:cs="Arial"/>
                <w:color w:val="202020"/>
                <w:sz w:val="22"/>
                <w:szCs w:val="22"/>
                <w:highlight w:val="white"/>
              </w:rPr>
              <w:t xml:space="preserve"> </w:t>
            </w:r>
          </w:p>
          <w:p w14:paraId="57E5D28E" w14:textId="77777777" w:rsidR="00A05F3B" w:rsidRPr="008501BA" w:rsidRDefault="00A05F3B" w:rsidP="006A3D97">
            <w:pPr>
              <w:spacing w:line="276" w:lineRule="auto"/>
              <w:rPr>
                <w:rFonts w:ascii="Arial" w:hAnsi="Arial" w:cs="Arial"/>
                <w:color w:val="222222"/>
                <w:sz w:val="22"/>
                <w:szCs w:val="22"/>
                <w:highlight w:val="white"/>
              </w:rPr>
            </w:pPr>
          </w:p>
          <w:p w14:paraId="26CB65BC" w14:textId="77777777" w:rsidR="00A05F3B" w:rsidRPr="008501BA" w:rsidRDefault="006A3D97" w:rsidP="006A3D97">
            <w:pPr>
              <w:spacing w:line="276" w:lineRule="auto"/>
              <w:rPr>
                <w:rFonts w:ascii="Arial" w:hAnsi="Arial" w:cs="Arial"/>
                <w:sz w:val="22"/>
                <w:szCs w:val="22"/>
                <w:highlight w:val="white"/>
              </w:rPr>
            </w:pPr>
            <w:proofErr w:type="spellStart"/>
            <w:r w:rsidRPr="008501BA">
              <w:rPr>
                <w:rFonts w:ascii="Arial" w:hAnsi="Arial" w:cs="Arial"/>
                <w:color w:val="222222"/>
                <w:sz w:val="22"/>
                <w:szCs w:val="22"/>
                <w:highlight w:val="white"/>
              </w:rPr>
              <w:t>Azunre</w:t>
            </w:r>
            <w:proofErr w:type="spellEnd"/>
            <w:r w:rsidRPr="008501BA">
              <w:rPr>
                <w:rFonts w:ascii="Arial" w:hAnsi="Arial" w:cs="Arial"/>
                <w:color w:val="222222"/>
                <w:sz w:val="22"/>
                <w:szCs w:val="22"/>
                <w:highlight w:val="white"/>
              </w:rPr>
              <w:t xml:space="preserve">, G. A., Amponsah, O., Peprah, C., Takyi, S. A., &amp; Braimah, I. (2019). A review of the role of urban agriculture in the sustainable city discourse. </w:t>
            </w:r>
            <w:r w:rsidRPr="008501BA">
              <w:rPr>
                <w:rFonts w:ascii="Arial" w:hAnsi="Arial" w:cs="Arial"/>
                <w:i/>
                <w:color w:val="222222"/>
                <w:sz w:val="22"/>
                <w:szCs w:val="22"/>
                <w:highlight w:val="white"/>
              </w:rPr>
              <w:t>Cities</w:t>
            </w:r>
            <w:r w:rsidRPr="008501BA">
              <w:rPr>
                <w:rFonts w:ascii="Arial" w:hAnsi="Arial" w:cs="Arial"/>
                <w:color w:val="222222"/>
                <w:sz w:val="22"/>
                <w:szCs w:val="22"/>
                <w:highlight w:val="white"/>
              </w:rPr>
              <w:t xml:space="preserve">, </w:t>
            </w:r>
            <w:r w:rsidRPr="008501BA">
              <w:rPr>
                <w:rFonts w:ascii="Arial" w:hAnsi="Arial" w:cs="Arial"/>
                <w:i/>
                <w:color w:val="222222"/>
                <w:sz w:val="22"/>
                <w:szCs w:val="22"/>
                <w:highlight w:val="white"/>
              </w:rPr>
              <w:t>93</w:t>
            </w:r>
            <w:r w:rsidRPr="008501BA">
              <w:rPr>
                <w:rFonts w:ascii="Arial" w:hAnsi="Arial" w:cs="Arial"/>
                <w:color w:val="222222"/>
                <w:sz w:val="22"/>
                <w:szCs w:val="22"/>
                <w:highlight w:val="white"/>
              </w:rPr>
              <w:t>, 104-119.</w:t>
            </w:r>
            <w:hyperlink r:id="rId8">
              <w:r w:rsidR="00A05F3B" w:rsidRPr="008501BA">
                <w:rPr>
                  <w:rFonts w:ascii="Arial" w:hAnsi="Arial" w:cs="Arial"/>
                  <w:color w:val="222222"/>
                  <w:sz w:val="22"/>
                  <w:szCs w:val="22"/>
                  <w:highlight w:val="white"/>
                </w:rPr>
                <w:t xml:space="preserve"> </w:t>
              </w:r>
            </w:hyperlink>
            <w:hyperlink r:id="rId9">
              <w:r w:rsidR="00A05F3B" w:rsidRPr="008501BA">
                <w:rPr>
                  <w:rFonts w:ascii="Arial" w:hAnsi="Arial" w:cs="Arial"/>
                  <w:color w:val="1155CC"/>
                  <w:sz w:val="22"/>
                  <w:szCs w:val="22"/>
                  <w:highlight w:val="white"/>
                  <w:u w:val="single"/>
                </w:rPr>
                <w:t>https://doi.org/10.1016/j.cities.2019.04.006</w:t>
              </w:r>
            </w:hyperlink>
          </w:p>
          <w:p w14:paraId="640A9B8F" w14:textId="77777777" w:rsidR="00A05F3B" w:rsidRPr="008501BA" w:rsidRDefault="00A05F3B" w:rsidP="006A3D97">
            <w:pPr>
              <w:spacing w:line="276" w:lineRule="auto"/>
              <w:rPr>
                <w:rFonts w:ascii="Arial" w:hAnsi="Arial" w:cs="Arial"/>
                <w:sz w:val="22"/>
                <w:szCs w:val="22"/>
                <w:highlight w:val="white"/>
              </w:rPr>
            </w:pPr>
          </w:p>
          <w:p w14:paraId="05FEBAFC" w14:textId="77777777" w:rsidR="00A05F3B" w:rsidRPr="008501BA" w:rsidRDefault="006A3D97" w:rsidP="006A3D97">
            <w:pPr>
              <w:spacing w:line="276" w:lineRule="auto"/>
              <w:rPr>
                <w:rFonts w:ascii="Arial" w:hAnsi="Arial" w:cs="Arial"/>
                <w:sz w:val="22"/>
                <w:szCs w:val="22"/>
                <w:highlight w:val="white"/>
              </w:rPr>
            </w:pPr>
            <w:r w:rsidRPr="008501BA">
              <w:rPr>
                <w:rFonts w:ascii="Arial" w:hAnsi="Arial" w:cs="Arial"/>
                <w:color w:val="222222"/>
                <w:sz w:val="22"/>
                <w:szCs w:val="22"/>
                <w:highlight w:val="white"/>
              </w:rPr>
              <w:t xml:space="preserve">Kiran, A., Mahalingam, A., Singh, C., </w:t>
            </w:r>
            <w:proofErr w:type="spellStart"/>
            <w:r w:rsidRPr="008501BA">
              <w:rPr>
                <w:rFonts w:ascii="Arial" w:hAnsi="Arial" w:cs="Arial"/>
                <w:color w:val="222222"/>
                <w:sz w:val="22"/>
                <w:szCs w:val="22"/>
                <w:highlight w:val="white"/>
              </w:rPr>
              <w:t>Mayavel</w:t>
            </w:r>
            <w:proofErr w:type="spellEnd"/>
            <w:r w:rsidRPr="008501BA">
              <w:rPr>
                <w:rFonts w:ascii="Arial" w:hAnsi="Arial" w:cs="Arial"/>
                <w:color w:val="222222"/>
                <w:sz w:val="22"/>
                <w:szCs w:val="22"/>
                <w:highlight w:val="white"/>
              </w:rPr>
              <w:t xml:space="preserve">, D., </w:t>
            </w:r>
            <w:proofErr w:type="spellStart"/>
            <w:r w:rsidRPr="008501BA">
              <w:rPr>
                <w:rFonts w:ascii="Arial" w:hAnsi="Arial" w:cs="Arial"/>
                <w:color w:val="222222"/>
                <w:sz w:val="22"/>
                <w:szCs w:val="22"/>
                <w:highlight w:val="white"/>
              </w:rPr>
              <w:t>Koduganti</w:t>
            </w:r>
            <w:proofErr w:type="spellEnd"/>
            <w:r w:rsidRPr="008501BA">
              <w:rPr>
                <w:rFonts w:ascii="Arial" w:hAnsi="Arial" w:cs="Arial"/>
                <w:color w:val="222222"/>
                <w:sz w:val="22"/>
                <w:szCs w:val="22"/>
                <w:highlight w:val="white"/>
              </w:rPr>
              <w:t xml:space="preserve">, M., Roy, P., </w:t>
            </w:r>
            <w:proofErr w:type="spellStart"/>
            <w:r w:rsidRPr="008501BA">
              <w:rPr>
                <w:rFonts w:ascii="Arial" w:hAnsi="Arial" w:cs="Arial"/>
                <w:color w:val="222222"/>
                <w:sz w:val="22"/>
                <w:szCs w:val="22"/>
                <w:highlight w:val="white"/>
              </w:rPr>
              <w:t>Poonacha</w:t>
            </w:r>
            <w:proofErr w:type="spellEnd"/>
            <w:r w:rsidRPr="008501BA">
              <w:rPr>
                <w:rFonts w:ascii="Arial" w:hAnsi="Arial" w:cs="Arial"/>
                <w:color w:val="222222"/>
                <w:sz w:val="22"/>
                <w:szCs w:val="22"/>
                <w:highlight w:val="white"/>
              </w:rPr>
              <w:t xml:space="preserve">, P., Patil, S., Sharma, S., &amp; Malladi, T. (2023). </w:t>
            </w:r>
            <w:r w:rsidRPr="008501BA">
              <w:rPr>
                <w:rFonts w:ascii="Arial" w:hAnsi="Arial" w:cs="Arial"/>
                <w:i/>
                <w:color w:val="222222"/>
                <w:sz w:val="22"/>
                <w:szCs w:val="22"/>
                <w:highlight w:val="white"/>
              </w:rPr>
              <w:t xml:space="preserve">An Action Agenda for Urban Agriculture in India. </w:t>
            </w:r>
            <w:r w:rsidRPr="008501BA">
              <w:rPr>
                <w:rFonts w:ascii="Arial" w:hAnsi="Arial" w:cs="Arial"/>
                <w:color w:val="222222"/>
                <w:sz w:val="22"/>
                <w:szCs w:val="22"/>
                <w:highlight w:val="white"/>
              </w:rPr>
              <w:t>Indian Institute for Human Settlements. Retrieved September 19, 2023, from</w:t>
            </w:r>
            <w:hyperlink r:id="rId10">
              <w:r w:rsidR="00A05F3B" w:rsidRPr="008501BA">
                <w:rPr>
                  <w:rFonts w:ascii="Arial" w:hAnsi="Arial" w:cs="Arial"/>
                  <w:color w:val="222222"/>
                  <w:sz w:val="22"/>
                  <w:szCs w:val="22"/>
                  <w:highlight w:val="white"/>
                </w:rPr>
                <w:t xml:space="preserve"> </w:t>
              </w:r>
            </w:hyperlink>
            <w:hyperlink r:id="rId11">
              <w:r w:rsidR="00A05F3B" w:rsidRPr="008501BA">
                <w:rPr>
                  <w:rFonts w:ascii="Arial" w:hAnsi="Arial" w:cs="Arial"/>
                  <w:color w:val="1155CC"/>
                  <w:sz w:val="22"/>
                  <w:szCs w:val="22"/>
                  <w:highlight w:val="white"/>
                  <w:u w:val="single"/>
                </w:rPr>
                <w:t>https://iihs.co.in/knowledge-gateway/wp-content/uploads/2023/05/An-Action-Agenda-for-Urban-Agriculture-in-India.pdf</w:t>
              </w:r>
            </w:hyperlink>
          </w:p>
          <w:p w14:paraId="1857F698" w14:textId="77777777" w:rsidR="00A05F3B" w:rsidRPr="008501BA" w:rsidRDefault="00A05F3B" w:rsidP="006A3D97">
            <w:pPr>
              <w:spacing w:line="276" w:lineRule="auto"/>
              <w:rPr>
                <w:rFonts w:ascii="Arial" w:hAnsi="Arial" w:cs="Arial"/>
                <w:color w:val="333333"/>
                <w:sz w:val="22"/>
                <w:szCs w:val="22"/>
                <w:shd w:val="clear" w:color="auto" w:fill="FCFCFC"/>
              </w:rPr>
            </w:pPr>
          </w:p>
          <w:p w14:paraId="019BDCAB" w14:textId="77777777" w:rsidR="00A05F3B" w:rsidRPr="008501BA" w:rsidRDefault="006A3D97" w:rsidP="006A3D97">
            <w:pPr>
              <w:spacing w:line="276" w:lineRule="auto"/>
              <w:rPr>
                <w:rFonts w:ascii="Arial" w:hAnsi="Arial" w:cs="Arial"/>
                <w:sz w:val="22"/>
                <w:szCs w:val="22"/>
                <w:highlight w:val="white"/>
              </w:rPr>
            </w:pPr>
            <w:proofErr w:type="spellStart"/>
            <w:r w:rsidRPr="008501BA">
              <w:rPr>
                <w:rFonts w:ascii="Arial" w:hAnsi="Arial" w:cs="Arial"/>
                <w:color w:val="333333"/>
                <w:sz w:val="22"/>
                <w:szCs w:val="22"/>
                <w:shd w:val="clear" w:color="auto" w:fill="FCFCFC"/>
              </w:rPr>
              <w:t>Koduganti</w:t>
            </w:r>
            <w:proofErr w:type="spellEnd"/>
            <w:r w:rsidRPr="008501BA">
              <w:rPr>
                <w:rFonts w:ascii="Arial" w:hAnsi="Arial" w:cs="Arial"/>
                <w:color w:val="333333"/>
                <w:sz w:val="22"/>
                <w:szCs w:val="22"/>
                <w:shd w:val="clear" w:color="auto" w:fill="FCFCFC"/>
              </w:rPr>
              <w:t xml:space="preserve">, M., &amp; Singh, C. (2022, October 20). </w:t>
            </w:r>
            <w:r w:rsidRPr="008501BA">
              <w:rPr>
                <w:rFonts w:ascii="Arial" w:hAnsi="Arial" w:cs="Arial"/>
                <w:i/>
                <w:color w:val="333333"/>
                <w:sz w:val="22"/>
                <w:szCs w:val="22"/>
                <w:shd w:val="clear" w:color="auto" w:fill="FCFCFC"/>
              </w:rPr>
              <w:t>Green Shoots of Health, Happiness and Wellbeing</w:t>
            </w:r>
            <w:r w:rsidRPr="008501BA">
              <w:rPr>
                <w:rFonts w:ascii="Arial" w:hAnsi="Arial" w:cs="Arial"/>
                <w:color w:val="333333"/>
                <w:sz w:val="22"/>
                <w:szCs w:val="22"/>
                <w:shd w:val="clear" w:color="auto" w:fill="FCFCFC"/>
              </w:rPr>
              <w:t>. Growing Greener Cities. Retrieved September 6, 2023, from</w:t>
            </w:r>
            <w:hyperlink r:id="rId12">
              <w:r w:rsidR="00A05F3B" w:rsidRPr="008501BA">
                <w:rPr>
                  <w:rFonts w:ascii="Arial" w:hAnsi="Arial" w:cs="Arial"/>
                  <w:color w:val="333333"/>
                  <w:sz w:val="22"/>
                  <w:szCs w:val="22"/>
                  <w:shd w:val="clear" w:color="auto" w:fill="FCFCFC"/>
                </w:rPr>
                <w:t xml:space="preserve"> </w:t>
              </w:r>
            </w:hyperlink>
            <w:hyperlink r:id="rId13">
              <w:r w:rsidR="00A05F3B" w:rsidRPr="008501BA">
                <w:rPr>
                  <w:rFonts w:ascii="Arial" w:hAnsi="Arial" w:cs="Arial"/>
                  <w:color w:val="1155CC"/>
                  <w:sz w:val="22"/>
                  <w:szCs w:val="22"/>
                  <w:u w:val="single"/>
                  <w:shd w:val="clear" w:color="auto" w:fill="FCFCFC"/>
                </w:rPr>
                <w:t>https://exhibition.upagri.net/exhibition-rooms/healthier-happier-citizens/green-shoots-of-health-happiness-and-wellbeing/</w:t>
              </w:r>
            </w:hyperlink>
            <w:r w:rsidRPr="008501BA">
              <w:rPr>
                <w:rFonts w:ascii="Arial" w:hAnsi="Arial" w:cs="Arial"/>
                <w:sz w:val="22"/>
                <w:szCs w:val="22"/>
                <w:highlight w:val="white"/>
              </w:rPr>
              <w:t xml:space="preserve"> </w:t>
            </w:r>
          </w:p>
          <w:p w14:paraId="536D4F7B" w14:textId="77777777" w:rsidR="00A05F3B" w:rsidRPr="008501BA" w:rsidRDefault="00A05F3B" w:rsidP="006A3D97">
            <w:pPr>
              <w:spacing w:line="276" w:lineRule="auto"/>
              <w:rPr>
                <w:rFonts w:ascii="Arial" w:hAnsi="Arial" w:cs="Arial"/>
                <w:sz w:val="22"/>
                <w:szCs w:val="22"/>
                <w:highlight w:val="white"/>
              </w:rPr>
            </w:pPr>
          </w:p>
          <w:p w14:paraId="238F06D7" w14:textId="77777777" w:rsidR="00A05F3B" w:rsidRPr="008501BA" w:rsidRDefault="006A3D97" w:rsidP="006A3D97">
            <w:pPr>
              <w:spacing w:line="276" w:lineRule="auto"/>
              <w:rPr>
                <w:rFonts w:ascii="Arial" w:hAnsi="Arial" w:cs="Arial"/>
                <w:color w:val="222222"/>
                <w:sz w:val="22"/>
                <w:szCs w:val="22"/>
                <w:highlight w:val="white"/>
              </w:rPr>
            </w:pPr>
            <w:r w:rsidRPr="008501BA">
              <w:rPr>
                <w:rFonts w:ascii="Arial" w:hAnsi="Arial" w:cs="Arial"/>
                <w:sz w:val="22"/>
                <w:szCs w:val="22"/>
                <w:highlight w:val="white"/>
              </w:rPr>
              <w:lastRenderedPageBreak/>
              <w:t>Maxwell, D., Larbi, W. O., Lamptey, G. M., Zakariah, S., &amp; Armar-</w:t>
            </w:r>
            <w:proofErr w:type="spellStart"/>
            <w:r w:rsidRPr="008501BA">
              <w:rPr>
                <w:rFonts w:ascii="Arial" w:hAnsi="Arial" w:cs="Arial"/>
                <w:sz w:val="22"/>
                <w:szCs w:val="22"/>
                <w:highlight w:val="white"/>
              </w:rPr>
              <w:t>Klemesu</w:t>
            </w:r>
            <w:proofErr w:type="spellEnd"/>
            <w:r w:rsidRPr="008501BA">
              <w:rPr>
                <w:rFonts w:ascii="Arial" w:hAnsi="Arial" w:cs="Arial"/>
                <w:sz w:val="22"/>
                <w:szCs w:val="22"/>
                <w:highlight w:val="white"/>
              </w:rPr>
              <w:t xml:space="preserve">, M. (1998). Farming in the shadow of the city: Changes in land rights and livelihoods in peri-urban Accra. </w:t>
            </w:r>
            <w:r w:rsidRPr="008501BA">
              <w:rPr>
                <w:rFonts w:ascii="Arial" w:hAnsi="Arial" w:cs="Arial"/>
                <w:i/>
                <w:sz w:val="22"/>
                <w:szCs w:val="22"/>
                <w:highlight w:val="white"/>
              </w:rPr>
              <w:t>Cities feeding people series; rept. 23</w:t>
            </w:r>
            <w:r w:rsidRPr="008501BA">
              <w:rPr>
                <w:rFonts w:ascii="Arial" w:hAnsi="Arial" w:cs="Arial"/>
                <w:sz w:val="22"/>
                <w:szCs w:val="22"/>
                <w:highlight w:val="white"/>
              </w:rPr>
              <w:t>.</w:t>
            </w:r>
          </w:p>
          <w:p w14:paraId="41062D4A" w14:textId="77777777" w:rsidR="00A05F3B" w:rsidRPr="008501BA" w:rsidRDefault="00A05F3B" w:rsidP="006A3D97">
            <w:pPr>
              <w:spacing w:line="276" w:lineRule="auto"/>
              <w:rPr>
                <w:rFonts w:ascii="Arial" w:hAnsi="Arial" w:cs="Arial"/>
                <w:sz w:val="22"/>
                <w:szCs w:val="22"/>
                <w:highlight w:val="white"/>
              </w:rPr>
            </w:pPr>
          </w:p>
          <w:p w14:paraId="250438CA" w14:textId="77777777" w:rsidR="00A05F3B" w:rsidRPr="008501BA" w:rsidRDefault="006A3D97" w:rsidP="006A3D97">
            <w:pPr>
              <w:spacing w:line="276" w:lineRule="auto"/>
              <w:rPr>
                <w:rFonts w:ascii="Arial" w:hAnsi="Arial" w:cs="Arial"/>
                <w:color w:val="222222"/>
                <w:sz w:val="22"/>
                <w:szCs w:val="22"/>
                <w:highlight w:val="white"/>
                <w:u w:val="single"/>
              </w:rPr>
            </w:pPr>
            <w:r w:rsidRPr="008501BA">
              <w:rPr>
                <w:rFonts w:ascii="Arial" w:hAnsi="Arial" w:cs="Arial"/>
                <w:sz w:val="22"/>
                <w:szCs w:val="22"/>
                <w:highlight w:val="white"/>
              </w:rPr>
              <w:t xml:space="preserve">Rao, N., Patil, S., Singh, C., Roy, P., Pryor, C., </w:t>
            </w:r>
            <w:proofErr w:type="spellStart"/>
            <w:r w:rsidRPr="008501BA">
              <w:rPr>
                <w:rFonts w:ascii="Arial" w:hAnsi="Arial" w:cs="Arial"/>
                <w:sz w:val="22"/>
                <w:szCs w:val="22"/>
                <w:highlight w:val="white"/>
              </w:rPr>
              <w:t>Poonacha</w:t>
            </w:r>
            <w:proofErr w:type="spellEnd"/>
            <w:r w:rsidRPr="008501BA">
              <w:rPr>
                <w:rFonts w:ascii="Arial" w:hAnsi="Arial" w:cs="Arial"/>
                <w:sz w:val="22"/>
                <w:szCs w:val="22"/>
                <w:highlight w:val="white"/>
              </w:rPr>
              <w:t xml:space="preserve">, P., &amp; Genes, M. (2022). Cultivating sustainable and healthy cities: A systematic literature review of the outcomes of urban and peri-urban agriculture. </w:t>
            </w:r>
            <w:r w:rsidRPr="008501BA">
              <w:rPr>
                <w:rFonts w:ascii="Arial" w:hAnsi="Arial" w:cs="Arial"/>
                <w:i/>
                <w:sz w:val="22"/>
                <w:szCs w:val="22"/>
                <w:highlight w:val="white"/>
              </w:rPr>
              <w:t>Sustainable Cities and Society</w:t>
            </w:r>
            <w:r w:rsidRPr="008501BA">
              <w:rPr>
                <w:rFonts w:ascii="Arial" w:hAnsi="Arial" w:cs="Arial"/>
                <w:sz w:val="22"/>
                <w:szCs w:val="22"/>
                <w:highlight w:val="white"/>
              </w:rPr>
              <w:t xml:space="preserve">, </w:t>
            </w:r>
            <w:r w:rsidRPr="008501BA">
              <w:rPr>
                <w:rFonts w:ascii="Arial" w:hAnsi="Arial" w:cs="Arial"/>
                <w:i/>
                <w:sz w:val="22"/>
                <w:szCs w:val="22"/>
                <w:highlight w:val="white"/>
              </w:rPr>
              <w:t>85</w:t>
            </w:r>
            <w:r w:rsidRPr="008501BA">
              <w:rPr>
                <w:rFonts w:ascii="Arial" w:hAnsi="Arial" w:cs="Arial"/>
                <w:sz w:val="22"/>
                <w:szCs w:val="22"/>
                <w:highlight w:val="white"/>
              </w:rPr>
              <w:t>, 104063.</w:t>
            </w:r>
            <w:hyperlink r:id="rId14">
              <w:r w:rsidR="00A05F3B" w:rsidRPr="008501BA">
                <w:rPr>
                  <w:rFonts w:ascii="Arial" w:hAnsi="Arial" w:cs="Arial"/>
                  <w:sz w:val="22"/>
                  <w:szCs w:val="22"/>
                  <w:highlight w:val="white"/>
                </w:rPr>
                <w:t xml:space="preserve"> </w:t>
              </w:r>
            </w:hyperlink>
            <w:hyperlink r:id="rId15">
              <w:r w:rsidR="00A05F3B" w:rsidRPr="008501BA">
                <w:rPr>
                  <w:rFonts w:ascii="Arial" w:hAnsi="Arial" w:cs="Arial"/>
                  <w:color w:val="1F1F1F"/>
                  <w:sz w:val="22"/>
                  <w:szCs w:val="22"/>
                  <w:highlight w:val="white"/>
                  <w:u w:val="single"/>
                </w:rPr>
                <w:t>https://doi.org/10.1016/j.scs.2022.104063</w:t>
              </w:r>
            </w:hyperlink>
            <w:r w:rsidRPr="008501BA">
              <w:rPr>
                <w:rFonts w:ascii="Arial" w:hAnsi="Arial" w:cs="Arial"/>
                <w:color w:val="222222"/>
                <w:sz w:val="22"/>
                <w:szCs w:val="22"/>
                <w:highlight w:val="white"/>
                <w:u w:val="single"/>
              </w:rPr>
              <w:t xml:space="preserve"> </w:t>
            </w:r>
          </w:p>
          <w:p w14:paraId="2E036D1C" w14:textId="77777777" w:rsidR="00A05F3B" w:rsidRPr="008501BA" w:rsidRDefault="00A05F3B" w:rsidP="006A3D97">
            <w:pPr>
              <w:spacing w:line="276" w:lineRule="auto"/>
              <w:rPr>
                <w:rFonts w:ascii="Arial" w:hAnsi="Arial" w:cs="Arial"/>
                <w:color w:val="222222"/>
                <w:sz w:val="22"/>
                <w:szCs w:val="22"/>
                <w:highlight w:val="white"/>
                <w:u w:val="single"/>
              </w:rPr>
            </w:pPr>
          </w:p>
          <w:p w14:paraId="547D88D6" w14:textId="77777777" w:rsidR="00A05F3B" w:rsidRPr="008501BA" w:rsidRDefault="006A3D97" w:rsidP="006A3D97">
            <w:pPr>
              <w:spacing w:line="276" w:lineRule="auto"/>
              <w:rPr>
                <w:rFonts w:ascii="Arial" w:hAnsi="Arial" w:cs="Arial"/>
                <w:color w:val="222222"/>
                <w:sz w:val="22"/>
                <w:szCs w:val="22"/>
                <w:highlight w:val="white"/>
                <w:u w:val="single"/>
              </w:rPr>
            </w:pPr>
            <w:r w:rsidRPr="008501BA">
              <w:rPr>
                <w:rFonts w:ascii="Arial" w:hAnsi="Arial" w:cs="Arial"/>
                <w:sz w:val="22"/>
                <w:szCs w:val="22"/>
                <w:highlight w:val="white"/>
              </w:rPr>
              <w:t>Roy, P., &amp; Rao, N. (2021). The Role of Urban Agriculture in India’s Green Building Policy. Urban and Peri-urban Agriculture as Green Infrastructure (</w:t>
            </w:r>
            <w:proofErr w:type="spellStart"/>
            <w:r w:rsidRPr="008501BA">
              <w:rPr>
                <w:rFonts w:ascii="Arial" w:hAnsi="Arial" w:cs="Arial"/>
                <w:sz w:val="22"/>
                <w:szCs w:val="22"/>
                <w:highlight w:val="white"/>
              </w:rPr>
              <w:t>UPAGrI</w:t>
            </w:r>
            <w:proofErr w:type="spellEnd"/>
            <w:r w:rsidRPr="008501BA">
              <w:rPr>
                <w:rFonts w:ascii="Arial" w:hAnsi="Arial" w:cs="Arial"/>
                <w:sz w:val="22"/>
                <w:szCs w:val="22"/>
                <w:highlight w:val="white"/>
              </w:rPr>
              <w:t>). Retrieved January 8, 2023, from</w:t>
            </w:r>
            <w:hyperlink r:id="rId16">
              <w:r w:rsidR="00A05F3B" w:rsidRPr="008501BA">
                <w:rPr>
                  <w:rFonts w:ascii="Arial" w:hAnsi="Arial" w:cs="Arial"/>
                  <w:sz w:val="22"/>
                  <w:szCs w:val="22"/>
                  <w:highlight w:val="white"/>
                </w:rPr>
                <w:t xml:space="preserve"> </w:t>
              </w:r>
            </w:hyperlink>
            <w:hyperlink r:id="rId17">
              <w:r w:rsidR="00A05F3B" w:rsidRPr="008501BA">
                <w:rPr>
                  <w:rFonts w:ascii="Arial" w:hAnsi="Arial" w:cs="Arial"/>
                  <w:color w:val="1155CC"/>
                  <w:sz w:val="22"/>
                  <w:szCs w:val="22"/>
                  <w:highlight w:val="white"/>
                  <w:u w:val="single"/>
                </w:rPr>
                <w:t>https://8a6ac3e7-e78e-4937-baf4-bbb9f028d464.filesusr.com/ugd/d6ecfb_903c17f542cf423d888597823909fd2c.pdf</w:t>
              </w:r>
            </w:hyperlink>
          </w:p>
          <w:p w14:paraId="6EF76663" w14:textId="77777777" w:rsidR="00A05F3B" w:rsidRPr="008501BA" w:rsidRDefault="00A05F3B" w:rsidP="006A3D97">
            <w:pPr>
              <w:spacing w:line="276" w:lineRule="auto"/>
              <w:rPr>
                <w:rFonts w:ascii="Arial" w:hAnsi="Arial" w:cs="Arial"/>
                <w:color w:val="222222"/>
                <w:sz w:val="22"/>
                <w:szCs w:val="22"/>
                <w:highlight w:val="white"/>
                <w:u w:val="single"/>
              </w:rPr>
            </w:pPr>
          </w:p>
          <w:p w14:paraId="241FCC58" w14:textId="77777777" w:rsidR="00A05F3B" w:rsidRPr="008501BA" w:rsidRDefault="006A3D97" w:rsidP="006A3D97">
            <w:pPr>
              <w:spacing w:line="276" w:lineRule="auto"/>
              <w:rPr>
                <w:rFonts w:ascii="Arial" w:eastAsia="Calibri" w:hAnsi="Arial" w:cs="Arial"/>
                <w:sz w:val="22"/>
                <w:szCs w:val="22"/>
                <w:highlight w:val="white"/>
              </w:rPr>
            </w:pPr>
            <w:r w:rsidRPr="008501BA">
              <w:rPr>
                <w:rFonts w:ascii="Arial" w:hAnsi="Arial" w:cs="Arial"/>
                <w:color w:val="222222"/>
                <w:sz w:val="22"/>
                <w:szCs w:val="22"/>
                <w:highlight w:val="white"/>
              </w:rPr>
              <w:t xml:space="preserve">Singh, C., Patil, S., </w:t>
            </w:r>
            <w:proofErr w:type="spellStart"/>
            <w:r w:rsidRPr="008501BA">
              <w:rPr>
                <w:rFonts w:ascii="Arial" w:hAnsi="Arial" w:cs="Arial"/>
                <w:color w:val="222222"/>
                <w:sz w:val="22"/>
                <w:szCs w:val="22"/>
                <w:highlight w:val="white"/>
              </w:rPr>
              <w:t>Poonacha</w:t>
            </w:r>
            <w:proofErr w:type="spellEnd"/>
            <w:r w:rsidRPr="008501BA">
              <w:rPr>
                <w:rFonts w:ascii="Arial" w:hAnsi="Arial" w:cs="Arial"/>
                <w:color w:val="222222"/>
                <w:sz w:val="22"/>
                <w:szCs w:val="22"/>
                <w:highlight w:val="white"/>
              </w:rPr>
              <w:t xml:space="preserve">, P., </w:t>
            </w:r>
            <w:proofErr w:type="spellStart"/>
            <w:r w:rsidRPr="008501BA">
              <w:rPr>
                <w:rFonts w:ascii="Arial" w:hAnsi="Arial" w:cs="Arial"/>
                <w:color w:val="222222"/>
                <w:sz w:val="22"/>
                <w:szCs w:val="22"/>
                <w:highlight w:val="white"/>
              </w:rPr>
              <w:t>Koduganti</w:t>
            </w:r>
            <w:proofErr w:type="spellEnd"/>
            <w:r w:rsidRPr="008501BA">
              <w:rPr>
                <w:rFonts w:ascii="Arial" w:hAnsi="Arial" w:cs="Arial"/>
                <w:color w:val="222222"/>
                <w:sz w:val="22"/>
                <w:szCs w:val="22"/>
                <w:highlight w:val="white"/>
              </w:rPr>
              <w:t xml:space="preserve">, M., &amp; Sharma, S. (2021). When the “field” moves online: reflections on virtual data collection during COVID-19. </w:t>
            </w:r>
            <w:r w:rsidRPr="008501BA">
              <w:rPr>
                <w:rFonts w:ascii="Arial" w:hAnsi="Arial" w:cs="Arial"/>
                <w:i/>
                <w:color w:val="222222"/>
                <w:sz w:val="22"/>
                <w:szCs w:val="22"/>
                <w:highlight w:val="white"/>
              </w:rPr>
              <w:t>Ecology, Economy and Society–the INSEE Journal</w:t>
            </w:r>
            <w:r w:rsidRPr="008501BA">
              <w:rPr>
                <w:rFonts w:ascii="Arial" w:hAnsi="Arial" w:cs="Arial"/>
                <w:color w:val="222222"/>
                <w:sz w:val="22"/>
                <w:szCs w:val="22"/>
                <w:highlight w:val="white"/>
              </w:rPr>
              <w:t xml:space="preserve">, </w:t>
            </w:r>
            <w:r w:rsidRPr="008501BA">
              <w:rPr>
                <w:rFonts w:ascii="Arial" w:hAnsi="Arial" w:cs="Arial"/>
                <w:i/>
                <w:color w:val="222222"/>
                <w:sz w:val="22"/>
                <w:szCs w:val="22"/>
                <w:highlight w:val="white"/>
              </w:rPr>
              <w:t>4</w:t>
            </w:r>
            <w:r w:rsidRPr="008501BA">
              <w:rPr>
                <w:rFonts w:ascii="Arial" w:hAnsi="Arial" w:cs="Arial"/>
                <w:color w:val="222222"/>
                <w:sz w:val="22"/>
                <w:szCs w:val="22"/>
                <w:highlight w:val="white"/>
              </w:rPr>
              <w:t>(2), 149-157.</w:t>
            </w:r>
            <w:hyperlink r:id="rId18">
              <w:r w:rsidR="00A05F3B" w:rsidRPr="008501BA">
                <w:rPr>
                  <w:rFonts w:ascii="Arial" w:hAnsi="Arial" w:cs="Arial"/>
                  <w:color w:val="222222"/>
                  <w:sz w:val="22"/>
                  <w:szCs w:val="22"/>
                  <w:highlight w:val="white"/>
                </w:rPr>
                <w:t xml:space="preserve"> </w:t>
              </w:r>
            </w:hyperlink>
            <w:hyperlink r:id="rId19">
              <w:r w:rsidR="00A05F3B" w:rsidRPr="008501BA">
                <w:rPr>
                  <w:rFonts w:ascii="Arial" w:hAnsi="Arial" w:cs="Arial"/>
                  <w:color w:val="009DE5"/>
                  <w:sz w:val="22"/>
                  <w:szCs w:val="22"/>
                  <w:highlight w:val="white"/>
                </w:rPr>
                <w:t>https://doi.org/10.37773/ees.v4i2.414</w:t>
              </w:r>
            </w:hyperlink>
          </w:p>
          <w:p w14:paraId="4F982C4A" w14:textId="77777777" w:rsidR="00A05F3B" w:rsidRDefault="00A05F3B">
            <w:pPr>
              <w:jc w:val="both"/>
              <w:rPr>
                <w:rFonts w:ascii="Arial" w:eastAsia="Arial" w:hAnsi="Arial" w:cs="Arial"/>
                <w:b/>
                <w:sz w:val="22"/>
                <w:szCs w:val="22"/>
              </w:rPr>
            </w:pPr>
          </w:p>
          <w:p w14:paraId="1BE7EE00" w14:textId="77777777" w:rsidR="00A05F3B" w:rsidRDefault="00A05F3B">
            <w:pPr>
              <w:jc w:val="both"/>
              <w:rPr>
                <w:rFonts w:ascii="Arial" w:eastAsia="Arial" w:hAnsi="Arial" w:cs="Arial"/>
                <w:b/>
                <w:sz w:val="22"/>
                <w:szCs w:val="22"/>
              </w:rPr>
            </w:pPr>
          </w:p>
          <w:p w14:paraId="2BA224AF" w14:textId="77777777" w:rsidR="00A05F3B" w:rsidRDefault="00A05F3B">
            <w:pPr>
              <w:jc w:val="both"/>
              <w:rPr>
                <w:rFonts w:ascii="Arial" w:eastAsia="Arial" w:hAnsi="Arial" w:cs="Arial"/>
                <w:b/>
                <w:sz w:val="22"/>
                <w:szCs w:val="22"/>
              </w:rPr>
            </w:pPr>
          </w:p>
        </w:tc>
      </w:tr>
    </w:tbl>
    <w:p w14:paraId="1331B6AA" w14:textId="77777777" w:rsidR="00A05F3B" w:rsidRDefault="00A05F3B">
      <w:pPr>
        <w:tabs>
          <w:tab w:val="left" w:pos="8931"/>
        </w:tabs>
      </w:pPr>
    </w:p>
    <w:p w14:paraId="75394E01" w14:textId="77777777" w:rsidR="00A05F3B" w:rsidRDefault="00A05F3B"/>
    <w:sectPr w:rsidR="00A05F3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4F6EBF2-BB9D-4BFB-B057-09DF6055C4A8}"/>
  </w:font>
  <w:font w:name="Calibri">
    <w:panose1 w:val="020F0502020204030204"/>
    <w:charset w:val="00"/>
    <w:family w:val="swiss"/>
    <w:pitch w:val="variable"/>
    <w:sig w:usb0="E4002EFF" w:usb1="C200247B" w:usb2="00000009" w:usb3="00000000" w:csb0="000001FF" w:csb1="00000000"/>
    <w:embedRegular r:id="rId2" w:fontKey="{A57DEEBB-55F4-4E72-9C13-4C5FBC3AA0D2}"/>
    <w:embedBold r:id="rId3" w:fontKey="{2129241C-6ADE-4EAE-9CF0-D8CA3F3D8AF0}"/>
  </w:font>
  <w:font w:name="Georgia">
    <w:panose1 w:val="02040502050405020303"/>
    <w:charset w:val="00"/>
    <w:family w:val="roman"/>
    <w:pitch w:val="variable"/>
    <w:sig w:usb0="00000287" w:usb1="00000000" w:usb2="00000000" w:usb3="00000000" w:csb0="0000009F" w:csb1="00000000"/>
    <w:embedRegular r:id="rId4" w:fontKey="{29B9C3B3-61D9-41CA-8341-B0BEEB2CB8D6}"/>
    <w:embedItalic r:id="rId5" w:fontKey="{B2166A31-A70D-4BE7-BFC0-05364BAC33B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4F27C81-7FC7-4780-8A06-E43A71F80B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239B3"/>
    <w:multiLevelType w:val="multilevel"/>
    <w:tmpl w:val="A516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FA7C28"/>
    <w:multiLevelType w:val="multilevel"/>
    <w:tmpl w:val="ABE4BA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8008249">
    <w:abstractNumId w:val="1"/>
  </w:num>
  <w:num w:numId="2" w16cid:durableId="311760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3B"/>
    <w:rsid w:val="00305AEC"/>
    <w:rsid w:val="00416D84"/>
    <w:rsid w:val="0068612A"/>
    <w:rsid w:val="006A3D97"/>
    <w:rsid w:val="008501BA"/>
    <w:rsid w:val="00A0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2A74B"/>
  <w15:docId w15:val="{05D68FF5-4C2C-174E-B5EE-FF7BC28A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cities.2019.04.006" TargetMode="External"/><Relationship Id="rId13" Type="http://schemas.openxmlformats.org/officeDocument/2006/relationships/hyperlink" Target="https://exhibition.upagri.net/exhibition-rooms/healthier-happier-citizens/green-shoots-of-health-happiness-and-wellbeing/" TargetMode="External"/><Relationship Id="rId18" Type="http://schemas.openxmlformats.org/officeDocument/2006/relationships/hyperlink" Target="https://doi.org/10.37773/ees.v4i2.41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371/journal.pone.0243949" TargetMode="External"/><Relationship Id="rId12" Type="http://schemas.openxmlformats.org/officeDocument/2006/relationships/hyperlink" Target="https://exhibition.upagri.net/exhibition-rooms/healthier-happier-citizens/green-shoots-of-health-happiness-and-wellbeing/" TargetMode="External"/><Relationship Id="rId17" Type="http://schemas.openxmlformats.org/officeDocument/2006/relationships/hyperlink" Target="https://8a6ac3e7-e78e-4937-baf4-bbb9f028d464.filesusr.com/ugd/d6ecfb_903c17f542cf423d888597823909fd2c.pdf" TargetMode="External"/><Relationship Id="rId2" Type="http://schemas.openxmlformats.org/officeDocument/2006/relationships/styles" Target="styles.xml"/><Relationship Id="rId16" Type="http://schemas.openxmlformats.org/officeDocument/2006/relationships/hyperlink" Target="https://8a6ac3e7-e78e-4937-baf4-bbb9f028d464.filesusr.com/ugd/d6ecfb_903c17f542cf423d888597823909fd2c.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1371/journal.pone.0243949" TargetMode="External"/><Relationship Id="rId11" Type="http://schemas.openxmlformats.org/officeDocument/2006/relationships/hyperlink" Target="https://iihs.co.in/knowledge-gateway/wp-content/uploads/2023/05/An-Action-Agenda-for-Urban-Agriculture-in-India.pdf" TargetMode="External"/><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hyperlink" Target="https://doi.org/10.1016/j.scs.2022.104063" TargetMode="External"/><Relationship Id="rId23" Type="http://schemas.openxmlformats.org/officeDocument/2006/relationships/customXml" Target="../customXml/item2.xml"/><Relationship Id="rId10" Type="http://schemas.openxmlformats.org/officeDocument/2006/relationships/hyperlink" Target="https://iihs.co.in/knowledge-gateway/wp-content/uploads/2023/05/An-Action-Agenda-for-Urban-Agriculture-in-India.pdf" TargetMode="External"/><Relationship Id="rId19" Type="http://schemas.openxmlformats.org/officeDocument/2006/relationships/hyperlink" Target="https://doi.org/10.37773/ees.v4i2.414" TargetMode="External"/><Relationship Id="rId4" Type="http://schemas.openxmlformats.org/officeDocument/2006/relationships/webSettings" Target="webSettings.xml"/><Relationship Id="rId9" Type="http://schemas.openxmlformats.org/officeDocument/2006/relationships/hyperlink" Target="https://doi.org/10.1016/j.cities.2019.04.006" TargetMode="External"/><Relationship Id="rId14" Type="http://schemas.openxmlformats.org/officeDocument/2006/relationships/hyperlink" Target="https://doi.org/10.1016/j.scs.2022.104063" TargetMode="External"/><Relationship Id="rId22"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FD4B80-CC69-41F1-BCF7-1E5E19BC4A51}"/>
</file>

<file path=customXml/itemProps2.xml><?xml version="1.0" encoding="utf-8"?>
<ds:datastoreItem xmlns:ds="http://schemas.openxmlformats.org/officeDocument/2006/customXml" ds:itemID="{640ED7C5-1DB3-4BCA-A5AA-76F536AD86A1}"/>
</file>

<file path=customXml/itemProps3.xml><?xml version="1.0" encoding="utf-8"?>
<ds:datastoreItem xmlns:ds="http://schemas.openxmlformats.org/officeDocument/2006/customXml" ds:itemID="{0113FD4B-6ECA-462A-978B-0AF244E08C51}"/>
</file>

<file path=docProps/app.xml><?xml version="1.0" encoding="utf-8"?>
<Properties xmlns="http://schemas.openxmlformats.org/officeDocument/2006/extended-properties" xmlns:vt="http://schemas.openxmlformats.org/officeDocument/2006/docPropsVTypes">
  <Template>Normal.dotm</Template>
  <TotalTime>5</TotalTime>
  <Pages>3</Pages>
  <Words>1088</Words>
  <Characters>6204</Characters>
  <Application>Microsoft Office Word</Application>
  <DocSecurity>0</DocSecurity>
  <Lines>51</Lines>
  <Paragraphs>14</Paragraphs>
  <ScaleCrop>false</ScaleCrop>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3</cp:revision>
  <dcterms:created xsi:type="dcterms:W3CDTF">2025-03-06T04:55:00Z</dcterms:created>
  <dcterms:modified xsi:type="dcterms:W3CDTF">2025-08-10T23:59:00Z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