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CF31D" w14:textId="77777777" w:rsidR="00E46E5D" w:rsidRDefault="00E46E5D">
      <w:pPr>
        <w:rPr>
          <w:rFonts w:ascii="Times New Roman" w:hAnsi="Times New Roman" w:cs="Times New Roman"/>
          <w:lang w:val="en-NZ"/>
        </w:rPr>
      </w:pPr>
    </w:p>
    <w:p w14:paraId="205C3AAF" w14:textId="77777777" w:rsidR="00E46E5D" w:rsidRDefault="00E46E5D">
      <w:pPr>
        <w:rPr>
          <w:rFonts w:ascii="Times New Roman" w:hAnsi="Times New Roman" w:cs="Times New Roman"/>
          <w:lang w:val="en-NZ"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E465C1" w:rsidRPr="0003525D" w14:paraId="252B1EC2" w14:textId="77777777" w:rsidTr="00ED634A">
        <w:tc>
          <w:tcPr>
            <w:tcW w:w="8640" w:type="dxa"/>
          </w:tcPr>
          <w:p w14:paraId="6B6BE488" w14:textId="6BC977FD" w:rsidR="00E465C1" w:rsidRPr="008C6983" w:rsidRDefault="00E465C1" w:rsidP="00E46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6983">
              <w:rPr>
                <w:rFonts w:ascii="Arial" w:hAnsi="Arial" w:cs="Arial"/>
                <w:b/>
                <w:sz w:val="22"/>
                <w:szCs w:val="22"/>
              </w:rPr>
              <w:t xml:space="preserve">What </w:t>
            </w:r>
            <w:proofErr w:type="gramStart"/>
            <w:r w:rsidRPr="008C6983">
              <w:rPr>
                <w:rFonts w:ascii="Arial" w:hAnsi="Arial" w:cs="Arial"/>
                <w:b/>
                <w:sz w:val="22"/>
                <w:szCs w:val="22"/>
              </w:rPr>
              <w:t>plans</w:t>
            </w:r>
            <w:proofErr w:type="gramEnd"/>
            <w:r w:rsidRPr="008C6983">
              <w:rPr>
                <w:rFonts w:ascii="Arial" w:hAnsi="Arial" w:cs="Arial"/>
                <w:b/>
                <w:sz w:val="22"/>
                <w:szCs w:val="22"/>
              </w:rPr>
              <w:t xml:space="preserve"> and emergency laws might be required to facilitate</w:t>
            </w:r>
            <w:r w:rsidR="006E2392" w:rsidRPr="008C6983">
              <w:rPr>
                <w:rFonts w:ascii="Arial" w:hAnsi="Arial" w:cs="Arial"/>
                <w:b/>
                <w:sz w:val="22"/>
                <w:szCs w:val="22"/>
              </w:rPr>
              <w:t xml:space="preserve"> successful</w:t>
            </w:r>
            <w:r w:rsidRPr="008C698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C2B20" w:rsidRPr="008C6983">
              <w:rPr>
                <w:rFonts w:ascii="Arial" w:hAnsi="Arial" w:cs="Arial"/>
                <w:b/>
                <w:sz w:val="22"/>
                <w:szCs w:val="22"/>
              </w:rPr>
              <w:t xml:space="preserve">rapid </w:t>
            </w:r>
            <w:r w:rsidRPr="008C6983">
              <w:rPr>
                <w:rFonts w:ascii="Arial" w:hAnsi="Arial" w:cs="Arial"/>
                <w:b/>
                <w:sz w:val="22"/>
                <w:szCs w:val="22"/>
              </w:rPr>
              <w:t>border closure for island nations faced with severe pandemic threats</w:t>
            </w:r>
            <w:r w:rsidR="004F54E2" w:rsidRPr="008C6983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E465C1" w:rsidRPr="0003525D" w14:paraId="5D22BB6D" w14:textId="77777777" w:rsidTr="00ED634A">
        <w:trPr>
          <w:trHeight w:val="7663"/>
        </w:trPr>
        <w:tc>
          <w:tcPr>
            <w:tcW w:w="8640" w:type="dxa"/>
          </w:tcPr>
          <w:p w14:paraId="401C6D96" w14:textId="77777777" w:rsidR="00E465C1" w:rsidRDefault="00E465C1" w:rsidP="00ED63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3E2A979E" w14:textId="6E23052C" w:rsidR="00E465C1" w:rsidRDefault="00E465C1" w:rsidP="00E465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Issues around border closure for island nations faced with severe pandemic threats have been studied for New Zealand </w:t>
            </w:r>
            <w:r w:rsidR="00163895">
              <w:rPr>
                <w:rFonts w:ascii="Arial" w:hAnsi="Arial" w:cs="Arial"/>
                <w:sz w:val="22"/>
                <w:szCs w:val="22"/>
              </w:rPr>
              <w:t xml:space="preserve">(NZ) </w:t>
            </w:r>
            <w:r>
              <w:rPr>
                <w:rFonts w:ascii="Arial" w:hAnsi="Arial" w:cs="Arial"/>
                <w:sz w:val="22"/>
                <w:szCs w:val="22"/>
              </w:rPr>
              <w:t xml:space="preserve">eg, Boyd et al 2018; </w:t>
            </w:r>
            <w:proofErr w:type="spellStart"/>
            <w:r w:rsidRPr="00E465C1">
              <w:rPr>
                <w:rFonts w:ascii="Arial" w:hAnsi="Arial" w:cs="Arial"/>
                <w:i/>
                <w:sz w:val="22"/>
                <w:szCs w:val="22"/>
              </w:rPr>
              <w:t>Aust</w:t>
            </w:r>
            <w:proofErr w:type="spellEnd"/>
            <w:r w:rsidRPr="00E465C1">
              <w:rPr>
                <w:rFonts w:ascii="Arial" w:hAnsi="Arial" w:cs="Arial"/>
                <w:i/>
                <w:sz w:val="22"/>
                <w:szCs w:val="22"/>
              </w:rPr>
              <w:t xml:space="preserve"> N Z J Public Health</w:t>
            </w:r>
            <w:r>
              <w:rPr>
                <w:rFonts w:ascii="Arial" w:hAnsi="Arial" w:cs="Arial"/>
                <w:sz w:val="22"/>
                <w:szCs w:val="22"/>
              </w:rPr>
              <w:t xml:space="preserve">) and for small islands with low travel volumes (Eichner et al </w:t>
            </w:r>
            <w:r w:rsidR="004F54E2">
              <w:rPr>
                <w:rFonts w:ascii="Arial" w:hAnsi="Arial" w:cs="Arial"/>
                <w:sz w:val="22"/>
                <w:szCs w:val="22"/>
              </w:rPr>
              <w:t xml:space="preserve">2009, </w:t>
            </w:r>
            <w:r w:rsidR="004F54E2" w:rsidRPr="004F54E2">
              <w:rPr>
                <w:rFonts w:ascii="Arial" w:hAnsi="Arial" w:cs="Arial"/>
                <w:i/>
                <w:sz w:val="22"/>
                <w:szCs w:val="22"/>
              </w:rPr>
              <w:t>BMC Infect Dis</w:t>
            </w:r>
            <w:r w:rsidR="004756C5">
              <w:rPr>
                <w:rFonts w:ascii="Arial" w:hAnsi="Arial" w:cs="Arial"/>
                <w:sz w:val="22"/>
                <w:szCs w:val="22"/>
              </w:rPr>
              <w:t>). But</w:t>
            </w:r>
            <w:r>
              <w:rPr>
                <w:rFonts w:ascii="Arial" w:hAnsi="Arial" w:cs="Arial"/>
                <w:sz w:val="22"/>
                <w:szCs w:val="22"/>
              </w:rPr>
              <w:t xml:space="preserve"> there has been no detailed thinking about </w:t>
            </w:r>
            <w:r w:rsidR="004C2B20">
              <w:rPr>
                <w:rFonts w:ascii="Arial" w:hAnsi="Arial" w:cs="Arial"/>
                <w:sz w:val="22"/>
                <w:szCs w:val="22"/>
              </w:rPr>
              <w:t>the specifics in</w:t>
            </w:r>
            <w:r>
              <w:rPr>
                <w:rFonts w:ascii="Arial" w:hAnsi="Arial" w:cs="Arial"/>
                <w:sz w:val="22"/>
                <w:szCs w:val="22"/>
              </w:rPr>
              <w:t xml:space="preserve"> pandemic plans or emergency laws to facilitate </w:t>
            </w:r>
            <w:r w:rsidR="00163895">
              <w:rPr>
                <w:rFonts w:ascii="Arial" w:hAnsi="Arial" w:cs="Arial"/>
                <w:sz w:val="22"/>
                <w:szCs w:val="22"/>
              </w:rPr>
              <w:t>border closure</w:t>
            </w:r>
            <w:r w:rsidR="004756C5">
              <w:rPr>
                <w:rFonts w:ascii="Arial" w:hAnsi="Arial" w:cs="Arial"/>
                <w:sz w:val="22"/>
                <w:szCs w:val="22"/>
              </w:rPr>
              <w:t xml:space="preserve">. Therefore, </w:t>
            </w:r>
            <w:r>
              <w:rPr>
                <w:rFonts w:ascii="Arial" w:hAnsi="Arial" w:cs="Arial"/>
                <w:sz w:val="22"/>
                <w:szCs w:val="22"/>
              </w:rPr>
              <w:t xml:space="preserve">we </w:t>
            </w:r>
            <w:r w:rsidR="00163895">
              <w:rPr>
                <w:rFonts w:ascii="Arial" w:hAnsi="Arial" w:cs="Arial"/>
                <w:sz w:val="22"/>
                <w:szCs w:val="22"/>
              </w:rPr>
              <w:t>aim</w:t>
            </w:r>
            <w:r w:rsidR="004756C5">
              <w:rPr>
                <w:rFonts w:ascii="Arial" w:hAnsi="Arial" w:cs="Arial"/>
                <w:sz w:val="22"/>
                <w:szCs w:val="22"/>
              </w:rPr>
              <w:t>ed</w:t>
            </w:r>
            <w:r w:rsidR="00163895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>identif</w:t>
            </w:r>
            <w:r w:rsidR="004756C5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3895">
              <w:rPr>
                <w:rFonts w:ascii="Arial" w:hAnsi="Arial" w:cs="Arial"/>
                <w:sz w:val="22"/>
                <w:szCs w:val="22"/>
              </w:rPr>
              <w:t xml:space="preserve">such </w:t>
            </w:r>
            <w:r w:rsidR="004F54E2">
              <w:rPr>
                <w:rFonts w:ascii="Arial" w:hAnsi="Arial" w:cs="Arial"/>
                <w:sz w:val="22"/>
                <w:szCs w:val="22"/>
              </w:rPr>
              <w:t>potential actions</w:t>
            </w:r>
            <w:r w:rsidR="0016389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076038" w14:textId="77777777" w:rsidR="00E465C1" w:rsidRDefault="00E465C1" w:rsidP="00ED63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02F353" w14:textId="77777777" w:rsidR="00E465C1" w:rsidRDefault="00E465C1" w:rsidP="00ED63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053D8CBA" w14:textId="5371FEAE" w:rsidR="00E465C1" w:rsidRDefault="00E465C1" w:rsidP="00ED63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</w:t>
            </w:r>
            <w:r w:rsidR="006E23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2392" w:rsidRPr="006E2392">
              <w:rPr>
                <w:rFonts w:ascii="Arial" w:hAnsi="Arial" w:cs="Arial"/>
                <w:sz w:val="22"/>
                <w:szCs w:val="22"/>
              </w:rPr>
              <w:t>extracted success and failure factors for previous island nation border closures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2392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>
              <w:rPr>
                <w:rFonts w:ascii="Arial" w:hAnsi="Arial" w:cs="Arial"/>
                <w:sz w:val="22"/>
                <w:szCs w:val="22"/>
              </w:rPr>
              <w:t>the literature (eg, for the 1918 influenza pandemic) and considered modern pandemic planning documents</w:t>
            </w:r>
            <w:r w:rsidR="006E2392">
              <w:rPr>
                <w:rFonts w:ascii="Arial" w:hAnsi="Arial" w:cs="Arial"/>
                <w:sz w:val="22"/>
                <w:szCs w:val="22"/>
              </w:rPr>
              <w:t xml:space="preserve"> and related emergency laws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E2392">
              <w:rPr>
                <w:rFonts w:ascii="Arial" w:hAnsi="Arial" w:cs="Arial"/>
                <w:sz w:val="22"/>
                <w:szCs w:val="22"/>
              </w:rPr>
              <w:t>ie,</w:t>
            </w:r>
            <w:r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6E2392">
              <w:rPr>
                <w:rFonts w:ascii="Arial" w:hAnsi="Arial" w:cs="Arial"/>
                <w:sz w:val="22"/>
                <w:szCs w:val="22"/>
              </w:rPr>
              <w:t xml:space="preserve">selected island nations </w:t>
            </w:r>
            <w:r w:rsidR="004C2B20">
              <w:rPr>
                <w:rFonts w:ascii="Arial" w:hAnsi="Arial" w:cs="Arial"/>
                <w:sz w:val="22"/>
                <w:szCs w:val="22"/>
              </w:rPr>
              <w:t>in the Southern Hemisphere</w:t>
            </w:r>
            <w:r w:rsidR="001F4747">
              <w:rPr>
                <w:rFonts w:ascii="Arial" w:hAnsi="Arial" w:cs="Arial"/>
                <w:sz w:val="22"/>
                <w:szCs w:val="22"/>
              </w:rPr>
              <w:t>)</w:t>
            </w:r>
            <w:r w:rsidR="006E2392">
              <w:rPr>
                <w:rFonts w:ascii="Arial" w:hAnsi="Arial" w:cs="Arial"/>
                <w:sz w:val="22"/>
                <w:szCs w:val="22"/>
              </w:rPr>
              <w:t>.</w:t>
            </w:r>
            <w:r w:rsidR="004C2B2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54C7052" w14:textId="77777777" w:rsidR="00E465C1" w:rsidRDefault="00E465C1" w:rsidP="00ED63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7DCED6" w14:textId="77777777" w:rsidR="00E465C1" w:rsidRDefault="00E465C1" w:rsidP="00ED63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1A0F59D7" w14:textId="71FC4223" w:rsidR="00E465C1" w:rsidRPr="004F54E2" w:rsidRDefault="004F54E2" w:rsidP="006E23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Our examination of the literature</w:t>
            </w:r>
            <w:r w:rsidR="0016389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suggests that </w:t>
            </w:r>
            <w:r w:rsidRPr="004F54E2">
              <w:rPr>
                <w:rFonts w:ascii="Arial" w:hAnsi="Arial" w:cs="Arial"/>
                <w:sz w:val="22"/>
                <w:szCs w:val="22"/>
              </w:rPr>
              <w:t>pla</w:t>
            </w:r>
            <w:r>
              <w:rPr>
                <w:rFonts w:ascii="Arial" w:hAnsi="Arial" w:cs="Arial"/>
                <w:sz w:val="22"/>
                <w:szCs w:val="22"/>
              </w:rPr>
              <w:t xml:space="preserve">ns need to </w:t>
            </w:r>
            <w:r w:rsidR="00E465C1" w:rsidRPr="004F54E2">
              <w:rPr>
                <w:rFonts w:ascii="Arial" w:hAnsi="Arial" w:cs="Arial"/>
                <w:sz w:val="22"/>
                <w:szCs w:val="22"/>
              </w:rPr>
              <w:t xml:space="preserve">outline the rapid and definitive steps </w:t>
            </w:r>
            <w:r w:rsidR="00163895">
              <w:rPr>
                <w:rFonts w:ascii="Arial" w:hAnsi="Arial" w:cs="Arial"/>
                <w:sz w:val="22"/>
                <w:szCs w:val="22"/>
              </w:rPr>
              <w:t>to be</w:t>
            </w:r>
            <w:r w:rsidR="00E465C1" w:rsidRPr="004F54E2">
              <w:rPr>
                <w:rFonts w:ascii="Arial" w:hAnsi="Arial" w:cs="Arial"/>
                <w:sz w:val="22"/>
                <w:szCs w:val="22"/>
              </w:rPr>
              <w:t xml:space="preserve"> taken </w:t>
            </w:r>
            <w:r w:rsidR="00304593" w:rsidRPr="004F54E2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163895">
              <w:rPr>
                <w:rFonts w:ascii="Arial" w:hAnsi="Arial" w:cs="Arial"/>
                <w:sz w:val="22"/>
                <w:szCs w:val="22"/>
              </w:rPr>
              <w:t xml:space="preserve">each of </w:t>
            </w:r>
            <w:r w:rsidR="00304593" w:rsidRPr="004F54E2">
              <w:rPr>
                <w:rFonts w:ascii="Arial" w:hAnsi="Arial" w:cs="Arial"/>
                <w:sz w:val="22"/>
                <w:szCs w:val="22"/>
              </w:rPr>
              <w:t>the relevant authorities (</w:t>
            </w:r>
            <w:r w:rsidR="00163895">
              <w:rPr>
                <w:rFonts w:ascii="Arial" w:hAnsi="Arial" w:cs="Arial"/>
                <w:sz w:val="22"/>
                <w:szCs w:val="22"/>
              </w:rPr>
              <w:t>ie</w:t>
            </w:r>
            <w:r w:rsidR="00304593" w:rsidRPr="004F54E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63895">
              <w:rPr>
                <w:rFonts w:ascii="Arial" w:hAnsi="Arial" w:cs="Arial"/>
                <w:sz w:val="22"/>
                <w:szCs w:val="22"/>
              </w:rPr>
              <w:t xml:space="preserve">by: </w:t>
            </w:r>
            <w:r w:rsidR="00304593" w:rsidRPr="004F54E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E465C1" w:rsidRPr="004F54E2">
              <w:rPr>
                <w:rFonts w:ascii="Arial" w:hAnsi="Arial" w:cs="Arial"/>
                <w:sz w:val="22"/>
                <w:szCs w:val="22"/>
              </w:rPr>
              <w:t>P</w:t>
            </w:r>
            <w:r w:rsidR="00304593" w:rsidRPr="004F54E2">
              <w:rPr>
                <w:rFonts w:ascii="Arial" w:hAnsi="Arial" w:cs="Arial"/>
                <w:sz w:val="22"/>
                <w:szCs w:val="22"/>
              </w:rPr>
              <w:t xml:space="preserve">rime Minister </w:t>
            </w:r>
            <w:r w:rsidR="00E465C1" w:rsidRPr="004F54E2">
              <w:rPr>
                <w:rFonts w:ascii="Arial" w:hAnsi="Arial" w:cs="Arial"/>
                <w:sz w:val="22"/>
                <w:szCs w:val="22"/>
              </w:rPr>
              <w:t xml:space="preserve">and Cabinet; aviation </w:t>
            </w:r>
            <w:r w:rsidRPr="004F54E2">
              <w:rPr>
                <w:rFonts w:ascii="Arial" w:hAnsi="Arial" w:cs="Arial"/>
                <w:sz w:val="22"/>
                <w:szCs w:val="22"/>
              </w:rPr>
              <w:t xml:space="preserve">and maritime </w:t>
            </w:r>
            <w:r w:rsidR="00E465C1" w:rsidRPr="004F54E2">
              <w:rPr>
                <w:rFonts w:ascii="Arial" w:hAnsi="Arial" w:cs="Arial"/>
                <w:sz w:val="22"/>
                <w:szCs w:val="22"/>
              </w:rPr>
              <w:t xml:space="preserve">authorities; military; </w:t>
            </w:r>
            <w:r w:rsidR="00304593" w:rsidRPr="004F54E2">
              <w:rPr>
                <w:rFonts w:ascii="Arial" w:hAnsi="Arial" w:cs="Arial"/>
                <w:sz w:val="22"/>
                <w:szCs w:val="22"/>
              </w:rPr>
              <w:t>and health agencies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304593" w:rsidRPr="004F54E2">
              <w:rPr>
                <w:rFonts w:ascii="Arial" w:hAnsi="Arial" w:cs="Arial"/>
                <w:sz w:val="22"/>
                <w:szCs w:val="22"/>
              </w:rPr>
              <w:t>.</w:t>
            </w:r>
            <w:r w:rsidRPr="004F54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65C1" w:rsidRPr="004F54E2">
              <w:rPr>
                <w:rFonts w:ascii="Arial" w:hAnsi="Arial" w:cs="Arial"/>
                <w:sz w:val="22"/>
                <w:szCs w:val="22"/>
              </w:rPr>
              <w:t xml:space="preserve">Updated emergency legislation </w:t>
            </w:r>
            <w:r w:rsidRPr="004F54E2">
              <w:rPr>
                <w:rFonts w:ascii="Arial" w:hAnsi="Arial" w:cs="Arial"/>
                <w:sz w:val="22"/>
                <w:szCs w:val="22"/>
              </w:rPr>
              <w:t>might need to cover:</w:t>
            </w:r>
          </w:p>
          <w:p w14:paraId="59F649DF" w14:textId="3F835233" w:rsidR="00E465C1" w:rsidRPr="004F54E2" w:rsidRDefault="00E465C1" w:rsidP="00E465C1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4F54E2">
              <w:rPr>
                <w:rFonts w:ascii="Arial" w:hAnsi="Arial" w:cs="Arial"/>
                <w:sz w:val="22"/>
                <w:szCs w:val="22"/>
              </w:rPr>
              <w:t>Protect</w:t>
            </w:r>
            <w:r w:rsidR="004F54E2" w:rsidRPr="004F54E2">
              <w:rPr>
                <w:rFonts w:ascii="Arial" w:hAnsi="Arial" w:cs="Arial"/>
                <w:sz w:val="22"/>
                <w:szCs w:val="22"/>
              </w:rPr>
              <w:t xml:space="preserve">ing the political decision-makers from </w:t>
            </w:r>
            <w:r w:rsidRPr="004F54E2">
              <w:rPr>
                <w:rFonts w:ascii="Arial" w:hAnsi="Arial" w:cs="Arial"/>
                <w:sz w:val="22"/>
                <w:szCs w:val="22"/>
              </w:rPr>
              <w:t xml:space="preserve">legal action so </w:t>
            </w:r>
            <w:r w:rsidR="004F54E2" w:rsidRPr="004F54E2">
              <w:rPr>
                <w:rFonts w:ascii="Arial" w:hAnsi="Arial" w:cs="Arial"/>
                <w:sz w:val="22"/>
                <w:szCs w:val="22"/>
              </w:rPr>
              <w:t xml:space="preserve">that they can </w:t>
            </w:r>
            <w:r w:rsidRPr="004F54E2">
              <w:rPr>
                <w:rFonts w:ascii="Arial" w:hAnsi="Arial" w:cs="Arial"/>
                <w:sz w:val="22"/>
                <w:szCs w:val="22"/>
              </w:rPr>
              <w:t xml:space="preserve">make the difficult decisions without legal threats from the tourism industry or </w:t>
            </w:r>
            <w:r w:rsidR="004F54E2">
              <w:rPr>
                <w:rFonts w:ascii="Arial" w:hAnsi="Arial" w:cs="Arial"/>
                <w:sz w:val="22"/>
                <w:szCs w:val="22"/>
              </w:rPr>
              <w:t>nationals</w:t>
            </w:r>
            <w:r w:rsidRPr="004F54E2">
              <w:rPr>
                <w:rFonts w:ascii="Arial" w:hAnsi="Arial" w:cs="Arial"/>
                <w:sz w:val="22"/>
                <w:szCs w:val="22"/>
              </w:rPr>
              <w:t xml:space="preserve"> travelling overseas </w:t>
            </w:r>
            <w:r w:rsidR="004F54E2">
              <w:rPr>
                <w:rFonts w:ascii="Arial" w:hAnsi="Arial" w:cs="Arial"/>
                <w:sz w:val="22"/>
                <w:szCs w:val="22"/>
              </w:rPr>
              <w:t xml:space="preserve">and wanting to return. </w:t>
            </w:r>
          </w:p>
          <w:p w14:paraId="587CD5C3" w14:textId="7C36A2B0" w:rsidR="00E465C1" w:rsidRPr="004F54E2" w:rsidRDefault="00E465C1" w:rsidP="00E465C1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4F54E2">
              <w:rPr>
                <w:rFonts w:ascii="Arial" w:hAnsi="Arial" w:cs="Arial"/>
                <w:sz w:val="22"/>
                <w:szCs w:val="22"/>
              </w:rPr>
              <w:t>Facilitat</w:t>
            </w:r>
            <w:r w:rsidR="004F54E2" w:rsidRPr="004F54E2">
              <w:rPr>
                <w:rFonts w:ascii="Arial" w:hAnsi="Arial" w:cs="Arial"/>
                <w:sz w:val="22"/>
                <w:szCs w:val="22"/>
              </w:rPr>
              <w:t>ing</w:t>
            </w:r>
            <w:r w:rsidRPr="004F54E2">
              <w:rPr>
                <w:rFonts w:ascii="Arial" w:hAnsi="Arial" w:cs="Arial"/>
                <w:sz w:val="22"/>
                <w:szCs w:val="22"/>
              </w:rPr>
              <w:t xml:space="preserve"> ongoing trade via international crews of cargo planes and ships being appropriately managed (“protective sequestration” in port areas and airports). This </w:t>
            </w:r>
            <w:r w:rsidR="004C2B20">
              <w:rPr>
                <w:rFonts w:ascii="Arial" w:hAnsi="Arial" w:cs="Arial"/>
                <w:sz w:val="22"/>
                <w:szCs w:val="22"/>
              </w:rPr>
              <w:t>may</w:t>
            </w:r>
            <w:r w:rsidRPr="004F54E2">
              <w:rPr>
                <w:rFonts w:ascii="Arial" w:hAnsi="Arial" w:cs="Arial"/>
                <w:sz w:val="22"/>
                <w:szCs w:val="22"/>
              </w:rPr>
              <w:t xml:space="preserve"> involve special additional roles for </w:t>
            </w:r>
            <w:r w:rsidR="004F54E2" w:rsidRPr="004F54E2">
              <w:rPr>
                <w:rFonts w:ascii="Arial" w:hAnsi="Arial" w:cs="Arial"/>
                <w:sz w:val="22"/>
                <w:szCs w:val="22"/>
              </w:rPr>
              <w:t>customs personnel, the military and police</w:t>
            </w:r>
            <w:r w:rsidRPr="004F54E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218D4E" w14:textId="2DF146B9" w:rsidR="00E465C1" w:rsidRPr="004F54E2" w:rsidRDefault="00E465C1" w:rsidP="00E465C1">
            <w:pPr>
              <w:pStyle w:val="ListParagraph"/>
              <w:numPr>
                <w:ilvl w:val="0"/>
                <w:numId w:val="1"/>
              </w:numPr>
              <w:ind w:left="1080"/>
              <w:rPr>
                <w:rFonts w:ascii="Arial" w:hAnsi="Arial" w:cs="Arial"/>
                <w:sz w:val="22"/>
                <w:szCs w:val="22"/>
              </w:rPr>
            </w:pPr>
            <w:r w:rsidRPr="004F54E2">
              <w:rPr>
                <w:rFonts w:ascii="Arial" w:hAnsi="Arial" w:cs="Arial"/>
                <w:sz w:val="22"/>
                <w:szCs w:val="22"/>
              </w:rPr>
              <w:t>Allow</w:t>
            </w:r>
            <w:r w:rsidR="004F54E2" w:rsidRPr="004F54E2">
              <w:rPr>
                <w:rFonts w:ascii="Arial" w:hAnsi="Arial" w:cs="Arial"/>
                <w:sz w:val="22"/>
                <w:szCs w:val="22"/>
              </w:rPr>
              <w:t>ing</w:t>
            </w:r>
            <w:r w:rsidRPr="004F54E2">
              <w:rPr>
                <w:rFonts w:ascii="Arial" w:hAnsi="Arial" w:cs="Arial"/>
                <w:sz w:val="22"/>
                <w:szCs w:val="22"/>
              </w:rPr>
              <w:t xml:space="preserve"> for possib</w:t>
            </w:r>
            <w:bookmarkStart w:id="0" w:name="_GoBack"/>
            <w:bookmarkEnd w:id="0"/>
            <w:r w:rsidRPr="004F54E2">
              <w:rPr>
                <w:rFonts w:ascii="Arial" w:hAnsi="Arial" w:cs="Arial"/>
                <w:sz w:val="22"/>
                <w:szCs w:val="22"/>
              </w:rPr>
              <w:t xml:space="preserve">le compensation during the weeks/months of any border closure to </w:t>
            </w:r>
            <w:r w:rsidR="00163895">
              <w:rPr>
                <w:rFonts w:ascii="Arial" w:hAnsi="Arial" w:cs="Arial"/>
                <w:sz w:val="22"/>
                <w:szCs w:val="22"/>
              </w:rPr>
              <w:t xml:space="preserve">vulnerable </w:t>
            </w:r>
            <w:r w:rsidRPr="004F54E2">
              <w:rPr>
                <w:rFonts w:ascii="Arial" w:hAnsi="Arial" w:cs="Arial"/>
                <w:sz w:val="22"/>
                <w:szCs w:val="22"/>
              </w:rPr>
              <w:t xml:space="preserve">industries eg, the tourist industry (to ensure </w:t>
            </w:r>
            <w:r w:rsidR="004F54E2">
              <w:rPr>
                <w:rFonts w:ascii="Arial" w:hAnsi="Arial" w:cs="Arial"/>
                <w:sz w:val="22"/>
                <w:szCs w:val="22"/>
              </w:rPr>
              <w:t xml:space="preserve">these industries </w:t>
            </w:r>
            <w:r w:rsidR="00163895">
              <w:rPr>
                <w:rFonts w:ascii="Arial" w:hAnsi="Arial" w:cs="Arial"/>
                <w:sz w:val="22"/>
                <w:szCs w:val="22"/>
              </w:rPr>
              <w:t xml:space="preserve">can survive and </w:t>
            </w:r>
            <w:r w:rsidR="004F54E2">
              <w:rPr>
                <w:rFonts w:ascii="Arial" w:hAnsi="Arial" w:cs="Arial"/>
                <w:sz w:val="22"/>
                <w:szCs w:val="22"/>
              </w:rPr>
              <w:t xml:space="preserve">have </w:t>
            </w:r>
            <w:r w:rsidRPr="004F54E2">
              <w:rPr>
                <w:rFonts w:ascii="Arial" w:hAnsi="Arial" w:cs="Arial"/>
                <w:sz w:val="22"/>
                <w:szCs w:val="22"/>
              </w:rPr>
              <w:t>rapid post-pandemic recovery). Alternatively</w:t>
            </w:r>
            <w:r w:rsidR="004C2B20">
              <w:rPr>
                <w:rFonts w:ascii="Arial" w:hAnsi="Arial" w:cs="Arial"/>
                <w:sz w:val="22"/>
                <w:szCs w:val="22"/>
              </w:rPr>
              <w:t>,</w:t>
            </w:r>
            <w:r w:rsidRPr="004F54E2">
              <w:rPr>
                <w:rFonts w:ascii="Arial" w:hAnsi="Arial" w:cs="Arial"/>
                <w:sz w:val="22"/>
                <w:szCs w:val="22"/>
              </w:rPr>
              <w:t xml:space="preserve"> the government could </w:t>
            </w:r>
            <w:r w:rsidR="004F54E2" w:rsidRPr="004F54E2">
              <w:rPr>
                <w:rFonts w:ascii="Arial" w:hAnsi="Arial" w:cs="Arial"/>
                <w:sz w:val="22"/>
                <w:szCs w:val="22"/>
              </w:rPr>
              <w:t>mandate</w:t>
            </w:r>
            <w:r w:rsidRPr="004F54E2">
              <w:rPr>
                <w:rFonts w:ascii="Arial" w:hAnsi="Arial" w:cs="Arial"/>
                <w:sz w:val="22"/>
                <w:szCs w:val="22"/>
              </w:rPr>
              <w:t xml:space="preserve"> that </w:t>
            </w:r>
            <w:r w:rsidR="004F54E2">
              <w:rPr>
                <w:rFonts w:ascii="Arial" w:hAnsi="Arial" w:cs="Arial"/>
                <w:sz w:val="22"/>
                <w:szCs w:val="22"/>
              </w:rPr>
              <w:t>vulnerable industries</w:t>
            </w:r>
            <w:r w:rsidRPr="004F54E2">
              <w:rPr>
                <w:rFonts w:ascii="Arial" w:hAnsi="Arial" w:cs="Arial"/>
                <w:sz w:val="22"/>
                <w:szCs w:val="22"/>
              </w:rPr>
              <w:t xml:space="preserve"> adopt appropriate insurance </w:t>
            </w:r>
            <w:r w:rsidR="004C2B20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4F54E2">
              <w:rPr>
                <w:rFonts w:ascii="Arial" w:hAnsi="Arial" w:cs="Arial"/>
                <w:sz w:val="22"/>
                <w:szCs w:val="22"/>
              </w:rPr>
              <w:t>cover</w:t>
            </w:r>
            <w:r w:rsidR="004C2B20">
              <w:rPr>
                <w:rFonts w:ascii="Arial" w:hAnsi="Arial" w:cs="Arial"/>
                <w:sz w:val="22"/>
                <w:szCs w:val="22"/>
              </w:rPr>
              <w:t>s</w:t>
            </w:r>
            <w:r w:rsidRPr="004F54E2">
              <w:rPr>
                <w:rFonts w:ascii="Arial" w:hAnsi="Arial" w:cs="Arial"/>
                <w:sz w:val="22"/>
                <w:szCs w:val="22"/>
              </w:rPr>
              <w:t xml:space="preserve"> such contingencies. </w:t>
            </w:r>
          </w:p>
          <w:p w14:paraId="06D26151" w14:textId="77777777" w:rsidR="006E2392" w:rsidRDefault="006E2392" w:rsidP="00ED63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38D422" w14:textId="737D3375" w:rsidR="00E465C1" w:rsidRDefault="006E2392" w:rsidP="00ED63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Pre-allocated </w:t>
            </w:r>
            <w:r w:rsidR="00642E16">
              <w:rPr>
                <w:rFonts w:ascii="Arial" w:hAnsi="Arial" w:cs="Arial"/>
                <w:sz w:val="22"/>
                <w:szCs w:val="22"/>
              </w:rPr>
              <w:t xml:space="preserve">financial and other </w:t>
            </w:r>
            <w:r>
              <w:rPr>
                <w:rFonts w:ascii="Arial" w:hAnsi="Arial" w:cs="Arial"/>
                <w:sz w:val="22"/>
                <w:szCs w:val="22"/>
              </w:rPr>
              <w:t xml:space="preserve">resources may </w:t>
            </w:r>
            <w:r w:rsidR="00642E16">
              <w:rPr>
                <w:rFonts w:ascii="Arial" w:hAnsi="Arial" w:cs="Arial"/>
                <w:sz w:val="22"/>
                <w:szCs w:val="22"/>
              </w:rPr>
              <w:t xml:space="preserve">be </w:t>
            </w:r>
            <w:r>
              <w:rPr>
                <w:rFonts w:ascii="Arial" w:hAnsi="Arial" w:cs="Arial"/>
                <w:sz w:val="22"/>
                <w:szCs w:val="22"/>
              </w:rPr>
              <w:t>need</w:t>
            </w:r>
            <w:r w:rsidR="00642E16">
              <w:rPr>
                <w:rFonts w:ascii="Arial" w:hAnsi="Arial" w:cs="Arial"/>
                <w:sz w:val="22"/>
                <w:szCs w:val="22"/>
              </w:rPr>
              <w:t>ed</w:t>
            </w:r>
            <w:r>
              <w:rPr>
                <w:rFonts w:ascii="Arial" w:hAnsi="Arial" w:cs="Arial"/>
                <w:sz w:val="22"/>
                <w:szCs w:val="22"/>
              </w:rPr>
              <w:t xml:space="preserve"> to ensure mass media campaigns could be run (eg, to promote respiratory hygiene and social distancing), in case the border control efforts failed. </w:t>
            </w:r>
          </w:p>
          <w:p w14:paraId="154B3382" w14:textId="77777777" w:rsidR="006E2392" w:rsidRPr="004F54E2" w:rsidRDefault="006E2392" w:rsidP="00ED63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972462" w14:textId="77777777" w:rsidR="00E465C1" w:rsidRPr="004F54E2" w:rsidRDefault="00E465C1" w:rsidP="00ED63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54E2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1CC28019" w14:textId="43DFF98E" w:rsidR="00E465C1" w:rsidRDefault="00304593" w:rsidP="00ED634A">
            <w:pPr>
              <w:jc w:val="both"/>
            </w:pPr>
            <w:r w:rsidRPr="004F54E2">
              <w:rPr>
                <w:rFonts w:ascii="Arial" w:hAnsi="Arial" w:cs="Arial"/>
                <w:sz w:val="22"/>
                <w:szCs w:val="22"/>
              </w:rPr>
              <w:t xml:space="preserve">Pandemic plans </w:t>
            </w:r>
            <w:r w:rsidR="004F54E2">
              <w:rPr>
                <w:rFonts w:ascii="Arial" w:hAnsi="Arial" w:cs="Arial"/>
                <w:sz w:val="22"/>
                <w:szCs w:val="22"/>
              </w:rPr>
              <w:t xml:space="preserve">and emergency laws </w:t>
            </w:r>
            <w:r w:rsidRPr="004F54E2">
              <w:rPr>
                <w:rFonts w:ascii="Arial" w:hAnsi="Arial" w:cs="Arial"/>
                <w:sz w:val="22"/>
                <w:szCs w:val="22"/>
              </w:rPr>
              <w:t xml:space="preserve">of island nations may need to be </w:t>
            </w:r>
            <w:r w:rsidR="00F15B30">
              <w:rPr>
                <w:rFonts w:ascii="Arial" w:hAnsi="Arial" w:cs="Arial"/>
                <w:sz w:val="22"/>
                <w:szCs w:val="22"/>
              </w:rPr>
              <w:t>upgraded</w:t>
            </w:r>
            <w:r w:rsidRPr="004F54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54E2">
              <w:rPr>
                <w:rFonts w:ascii="Arial" w:hAnsi="Arial" w:cs="Arial"/>
                <w:sz w:val="22"/>
                <w:szCs w:val="22"/>
              </w:rPr>
              <w:t xml:space="preserve">if border closure is to be a viable option in severe pandemic </w:t>
            </w:r>
            <w:r w:rsidRPr="004F54E2">
              <w:rPr>
                <w:rFonts w:ascii="Arial" w:hAnsi="Arial" w:cs="Arial"/>
                <w:sz w:val="22"/>
                <w:szCs w:val="22"/>
              </w:rPr>
              <w:t>scenarios</w:t>
            </w:r>
            <w:r w:rsidR="00F15B30">
              <w:rPr>
                <w:rFonts w:ascii="Arial" w:hAnsi="Arial" w:cs="Arial"/>
                <w:sz w:val="22"/>
                <w:szCs w:val="22"/>
              </w:rPr>
              <w:t xml:space="preserve">. Such efforts may facilitate successful border closure in the brief time window (perhaps of hours) that may be available to decision-makers. Such planning may also allow trade to continue with no </w:t>
            </w:r>
            <w:r w:rsidR="00187442">
              <w:rPr>
                <w:rFonts w:ascii="Arial" w:hAnsi="Arial" w:cs="Arial"/>
                <w:sz w:val="22"/>
                <w:szCs w:val="22"/>
              </w:rPr>
              <w:t xml:space="preserve">significant </w:t>
            </w:r>
            <w:r w:rsidR="00F15B30">
              <w:rPr>
                <w:rFonts w:ascii="Arial" w:hAnsi="Arial" w:cs="Arial"/>
                <w:sz w:val="22"/>
                <w:szCs w:val="22"/>
              </w:rPr>
              <w:t>risk of person-to-person contact.</w:t>
            </w:r>
          </w:p>
          <w:p w14:paraId="118863BB" w14:textId="77777777" w:rsidR="00E465C1" w:rsidRDefault="00E465C1" w:rsidP="00ED63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66C431" w14:textId="77777777" w:rsidR="00E465C1" w:rsidRDefault="00E465C1" w:rsidP="00ED634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27DE6F1F" w14:textId="77777777" w:rsidR="00F15B30" w:rsidRDefault="00F15B30" w:rsidP="00ED63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Pandemic planning</w:t>
            </w:r>
          </w:p>
          <w:p w14:paraId="48EC58A1" w14:textId="77777777" w:rsidR="00F15B30" w:rsidRDefault="00F15B30" w:rsidP="00ED63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Border closure</w:t>
            </w:r>
          </w:p>
          <w:p w14:paraId="3EA693B6" w14:textId="77777777" w:rsidR="00F15B30" w:rsidRDefault="00F15B30" w:rsidP="00ED63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Emergency laws</w:t>
            </w:r>
          </w:p>
          <w:p w14:paraId="633E6B2E" w14:textId="26C9185B" w:rsidR="00E465C1" w:rsidRDefault="00F15B30" w:rsidP="00ED63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Influenza</w:t>
            </w:r>
          </w:p>
          <w:p w14:paraId="37CD6183" w14:textId="1C32E001" w:rsidR="00E465C1" w:rsidRPr="00DA7A71" w:rsidRDefault="00F15B30" w:rsidP="004C2B2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Bioweapons</w:t>
            </w:r>
          </w:p>
        </w:tc>
      </w:tr>
    </w:tbl>
    <w:p w14:paraId="390F8732" w14:textId="4A36BFA7" w:rsidR="002C50F5" w:rsidRPr="001719F6" w:rsidRDefault="002C50F5" w:rsidP="00E465C1">
      <w:pPr>
        <w:rPr>
          <w:rFonts w:ascii="Times New Roman" w:hAnsi="Times New Roman" w:cs="Times New Roman"/>
          <w:lang w:val="en-NZ"/>
        </w:rPr>
      </w:pPr>
    </w:p>
    <w:sectPr w:rsidR="002C50F5" w:rsidRPr="001719F6" w:rsidSect="004D643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30025"/>
    <w:multiLevelType w:val="hybridMultilevel"/>
    <w:tmpl w:val="98E406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Public Health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9590d5edtxa9ne9asevdae7x0wpsrr99xxx&quot;&gt;2011- NEW - All&lt;record-ids&gt;&lt;item&gt;3726&lt;/item&gt;&lt;item&gt;4267&lt;/item&gt;&lt;/record-ids&gt;&lt;/item&gt;&lt;/Libraries&gt;"/>
  </w:docVars>
  <w:rsids>
    <w:rsidRoot w:val="001F7198"/>
    <w:rsid w:val="000778B4"/>
    <w:rsid w:val="00163895"/>
    <w:rsid w:val="001719F6"/>
    <w:rsid w:val="00187442"/>
    <w:rsid w:val="001F4747"/>
    <w:rsid w:val="001F7198"/>
    <w:rsid w:val="00235437"/>
    <w:rsid w:val="002371DC"/>
    <w:rsid w:val="00263243"/>
    <w:rsid w:val="002C50F5"/>
    <w:rsid w:val="002E1B38"/>
    <w:rsid w:val="00304593"/>
    <w:rsid w:val="003E7203"/>
    <w:rsid w:val="00456651"/>
    <w:rsid w:val="004756C5"/>
    <w:rsid w:val="004C2B20"/>
    <w:rsid w:val="004D643C"/>
    <w:rsid w:val="004F54E2"/>
    <w:rsid w:val="0051437A"/>
    <w:rsid w:val="005F7C27"/>
    <w:rsid w:val="00642E16"/>
    <w:rsid w:val="006B5B41"/>
    <w:rsid w:val="006E2392"/>
    <w:rsid w:val="006F0700"/>
    <w:rsid w:val="006F2461"/>
    <w:rsid w:val="0070074C"/>
    <w:rsid w:val="00702E12"/>
    <w:rsid w:val="00705E76"/>
    <w:rsid w:val="007B6FE6"/>
    <w:rsid w:val="008036B9"/>
    <w:rsid w:val="00872B38"/>
    <w:rsid w:val="008C6983"/>
    <w:rsid w:val="008F3154"/>
    <w:rsid w:val="009026F7"/>
    <w:rsid w:val="00937810"/>
    <w:rsid w:val="009A18E7"/>
    <w:rsid w:val="009A7295"/>
    <w:rsid w:val="00A417F1"/>
    <w:rsid w:val="00AB7C42"/>
    <w:rsid w:val="00B8098A"/>
    <w:rsid w:val="00BC0A1F"/>
    <w:rsid w:val="00BE68FF"/>
    <w:rsid w:val="00C122B5"/>
    <w:rsid w:val="00C836D9"/>
    <w:rsid w:val="00E4582E"/>
    <w:rsid w:val="00E465C1"/>
    <w:rsid w:val="00E46E5D"/>
    <w:rsid w:val="00E80AFC"/>
    <w:rsid w:val="00ED1B33"/>
    <w:rsid w:val="00ED26A1"/>
    <w:rsid w:val="00F15B30"/>
    <w:rsid w:val="00F3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0FC4D3"/>
  <w14:defaultImageDpi w14:val="300"/>
  <w15:docId w15:val="{51D6C345-42CB-4B5F-935B-07D7E73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2E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6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6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6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6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6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65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F3154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872B38"/>
    <w:pPr>
      <w:jc w:val="center"/>
    </w:pPr>
    <w:rPr>
      <w:rFonts w:ascii="Cambria" w:hAnsi="Cambria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72B38"/>
    <w:rPr>
      <w:rFonts w:ascii="Cambria" w:hAnsi="Cambria"/>
      <w:noProof/>
    </w:rPr>
  </w:style>
  <w:style w:type="paragraph" w:customStyle="1" w:styleId="EndNoteBibliography">
    <w:name w:val="EndNote Bibliography"/>
    <w:basedOn w:val="Normal"/>
    <w:link w:val="EndNoteBibliographyChar"/>
    <w:rsid w:val="00872B38"/>
    <w:rPr>
      <w:rFonts w:ascii="Cambria" w:hAnsi="Cambria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72B38"/>
    <w:rPr>
      <w:rFonts w:ascii="Cambria" w:hAnsi="Cambria"/>
      <w:noProof/>
    </w:rPr>
  </w:style>
  <w:style w:type="table" w:styleId="TableGrid">
    <w:name w:val="Table Grid"/>
    <w:basedOn w:val="TableNormal"/>
    <w:rsid w:val="00E465C1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1145B2-DC67-428C-92C7-905E15AC9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29B2D-8694-4168-91E2-B554540C6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A6D35-BB87-421A-AA5F-ED87746E1E72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c8a2b7b-0bee-4c48-b0a6-23db8982d3bc"/>
    <ds:schemaRef ds:uri="6911e96c-4cc4-42d5-8e43-f93924cf6a05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Boyd</dc:creator>
  <cp:keywords/>
  <dc:description/>
  <cp:lastModifiedBy>Ani Santos</cp:lastModifiedBy>
  <cp:revision>2</cp:revision>
  <cp:lastPrinted>2018-08-09T20:35:00Z</cp:lastPrinted>
  <dcterms:created xsi:type="dcterms:W3CDTF">2018-09-02T02:46:00Z</dcterms:created>
  <dcterms:modified xsi:type="dcterms:W3CDTF">2018-09-02T02:46:00Z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