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34F9" w14:textId="27CACCC3" w:rsidR="002846B7" w:rsidRPr="00187E80" w:rsidRDefault="00DE35E7" w:rsidP="00FA0302">
      <w:pPr>
        <w:jc w:val="both"/>
        <w:rPr>
          <w:rFonts w:ascii="Arial" w:hAnsi="Arial" w:cs="Arial"/>
          <w:u w:val="single"/>
        </w:rPr>
      </w:pPr>
      <w:r w:rsidRPr="00187E80">
        <w:rPr>
          <w:rFonts w:ascii="Arial" w:hAnsi="Arial" w:cs="Arial"/>
          <w:u w:val="single"/>
        </w:rPr>
        <w:t>Aim/s</w:t>
      </w:r>
    </w:p>
    <w:p w14:paraId="1E0F7C38" w14:textId="257AE59C" w:rsidR="00751BF7" w:rsidRPr="00187E80" w:rsidRDefault="00187E80" w:rsidP="00751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CD6399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="00CD6399">
        <w:rPr>
          <w:rFonts w:ascii="Arial" w:hAnsi="Arial" w:cs="Arial"/>
        </w:rPr>
        <w:t>bidirectional</w:t>
      </w:r>
      <w:r>
        <w:rPr>
          <w:rFonts w:ascii="Arial" w:hAnsi="Arial" w:cs="Arial"/>
        </w:rPr>
        <w:t xml:space="preserve"> associations between </w:t>
      </w:r>
      <w:r w:rsidR="00C54A0A">
        <w:rPr>
          <w:rFonts w:ascii="Arial" w:hAnsi="Arial" w:cs="Arial"/>
        </w:rPr>
        <w:t>diabetes-related</w:t>
      </w:r>
      <w:r>
        <w:rPr>
          <w:rFonts w:ascii="Arial" w:hAnsi="Arial" w:cs="Arial"/>
        </w:rPr>
        <w:t xml:space="preserve"> distress</w:t>
      </w:r>
      <w:r w:rsidR="00F06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AF1D0C">
        <w:rPr>
          <w:rFonts w:ascii="Arial" w:hAnsi="Arial" w:cs="Arial"/>
        </w:rPr>
        <w:t>glycaemic control</w:t>
      </w:r>
      <w:r>
        <w:rPr>
          <w:rFonts w:ascii="Arial" w:hAnsi="Arial" w:cs="Arial"/>
        </w:rPr>
        <w:t xml:space="preserve"> </w:t>
      </w:r>
      <w:r w:rsidR="00F061D2">
        <w:rPr>
          <w:rFonts w:ascii="Arial" w:hAnsi="Arial" w:cs="Arial"/>
        </w:rPr>
        <w:t xml:space="preserve">in </w:t>
      </w:r>
      <w:r w:rsidR="00F061D2" w:rsidRPr="00187E80">
        <w:rPr>
          <w:rFonts w:ascii="Arial" w:hAnsi="Arial" w:cs="Arial"/>
        </w:rPr>
        <w:t>type 1 diabetes (T1DM)</w:t>
      </w:r>
      <w:r w:rsidR="00751BF7" w:rsidRPr="00187E80">
        <w:rPr>
          <w:rFonts w:ascii="Arial" w:hAnsi="Arial" w:cs="Arial"/>
        </w:rPr>
        <w:t>. Continuous glucose monitoring (CGM)</w:t>
      </w:r>
      <w:r w:rsidR="007B5803">
        <w:rPr>
          <w:rFonts w:ascii="Arial" w:hAnsi="Arial" w:cs="Arial"/>
        </w:rPr>
        <w:t xml:space="preserve"> </w:t>
      </w:r>
      <w:r w:rsidR="009D2934">
        <w:rPr>
          <w:rFonts w:ascii="Arial" w:hAnsi="Arial" w:cs="Arial"/>
        </w:rPr>
        <w:t xml:space="preserve">typically </w:t>
      </w:r>
      <w:r w:rsidR="00C54A0A">
        <w:rPr>
          <w:rFonts w:ascii="Arial" w:hAnsi="Arial" w:cs="Arial"/>
        </w:rPr>
        <w:t>benefits</w:t>
      </w:r>
      <w:r w:rsidR="009D2934">
        <w:rPr>
          <w:rFonts w:ascii="Arial" w:hAnsi="Arial" w:cs="Arial"/>
        </w:rPr>
        <w:t xml:space="preserve"> glycaemic control</w:t>
      </w:r>
      <w:r w:rsidR="00C54A0A">
        <w:rPr>
          <w:rFonts w:ascii="Arial" w:hAnsi="Arial" w:cs="Arial"/>
        </w:rPr>
        <w:t xml:space="preserve"> but has been</w:t>
      </w:r>
      <w:r w:rsidR="00753C73">
        <w:rPr>
          <w:rFonts w:ascii="Arial" w:hAnsi="Arial" w:cs="Arial"/>
        </w:rPr>
        <w:t xml:space="preserve"> variably associated with lower or higher </w:t>
      </w:r>
      <w:r w:rsidR="007B5803">
        <w:rPr>
          <w:rFonts w:ascii="Arial" w:hAnsi="Arial" w:cs="Arial"/>
        </w:rPr>
        <w:t>diabetes distres</w:t>
      </w:r>
      <w:r w:rsidR="00C54A0A">
        <w:rPr>
          <w:rFonts w:ascii="Arial" w:hAnsi="Arial" w:cs="Arial"/>
        </w:rPr>
        <w:t>s</w:t>
      </w:r>
      <w:r w:rsidR="00753C73">
        <w:rPr>
          <w:rFonts w:ascii="Arial" w:hAnsi="Arial" w:cs="Arial"/>
        </w:rPr>
        <w:t xml:space="preserve">. Cohorts which are adolescent or from the U.S.A. have </w:t>
      </w:r>
      <w:r w:rsidR="00000C28">
        <w:rPr>
          <w:rFonts w:ascii="Arial" w:hAnsi="Arial" w:cs="Arial"/>
        </w:rPr>
        <w:t xml:space="preserve">typically </w:t>
      </w:r>
      <w:r w:rsidR="00753C73">
        <w:rPr>
          <w:rFonts w:ascii="Arial" w:hAnsi="Arial" w:cs="Arial"/>
        </w:rPr>
        <w:t xml:space="preserve">suggested a positive association, while no, or a negative, association between CGM use and diabetes distress has been demonstrated in Northern European cohorts. </w:t>
      </w:r>
      <w:r w:rsidR="00D606D7" w:rsidRPr="00187E80">
        <w:rPr>
          <w:rFonts w:ascii="Arial" w:hAnsi="Arial" w:cs="Arial"/>
        </w:rPr>
        <w:t xml:space="preserve">We </w:t>
      </w:r>
      <w:r w:rsidRPr="00187E80">
        <w:rPr>
          <w:rFonts w:ascii="Arial" w:hAnsi="Arial" w:cs="Arial"/>
        </w:rPr>
        <w:t>compared the burden of</w:t>
      </w:r>
      <w:r w:rsidR="00D606D7" w:rsidRPr="00187E80">
        <w:rPr>
          <w:rFonts w:ascii="Arial" w:hAnsi="Arial" w:cs="Arial"/>
        </w:rPr>
        <w:t xml:space="preserve"> diabetes distress</w:t>
      </w:r>
      <w:r w:rsidR="00C54A0A">
        <w:rPr>
          <w:rFonts w:ascii="Arial" w:hAnsi="Arial" w:cs="Arial"/>
        </w:rPr>
        <w:t>, as well as its subcategories,</w:t>
      </w:r>
      <w:r w:rsidR="00D606D7" w:rsidRPr="00187E80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adult</w:t>
      </w:r>
      <w:r w:rsidR="00F061D2">
        <w:rPr>
          <w:rFonts w:ascii="Arial" w:hAnsi="Arial" w:cs="Arial"/>
        </w:rPr>
        <w:t>s with</w:t>
      </w:r>
      <w:r>
        <w:rPr>
          <w:rFonts w:ascii="Arial" w:hAnsi="Arial" w:cs="Arial"/>
        </w:rPr>
        <w:t xml:space="preserve"> </w:t>
      </w:r>
      <w:r w:rsidR="00D606D7" w:rsidRPr="00187E80">
        <w:rPr>
          <w:rFonts w:ascii="Arial" w:hAnsi="Arial" w:cs="Arial"/>
        </w:rPr>
        <w:t>T1DM</w:t>
      </w:r>
      <w:r w:rsidRPr="00187E80">
        <w:rPr>
          <w:rFonts w:ascii="Arial" w:hAnsi="Arial" w:cs="Arial"/>
        </w:rPr>
        <w:t xml:space="preserve"> managed</w:t>
      </w:r>
      <w:r w:rsidR="00D606D7" w:rsidRPr="00187E80">
        <w:rPr>
          <w:rFonts w:ascii="Arial" w:hAnsi="Arial" w:cs="Arial"/>
        </w:rPr>
        <w:t xml:space="preserve"> with or without CGM</w:t>
      </w:r>
      <w:r w:rsidR="007B5803">
        <w:rPr>
          <w:rFonts w:ascii="Arial" w:hAnsi="Arial" w:cs="Arial"/>
        </w:rPr>
        <w:t xml:space="preserve"> in an Australian </w:t>
      </w:r>
      <w:r w:rsidR="00753C73">
        <w:rPr>
          <w:rFonts w:ascii="Arial" w:hAnsi="Arial" w:cs="Arial"/>
        </w:rPr>
        <w:t>cohort</w:t>
      </w:r>
      <w:r w:rsidR="007B5803">
        <w:rPr>
          <w:rFonts w:ascii="Arial" w:hAnsi="Arial" w:cs="Arial"/>
        </w:rPr>
        <w:t>.</w:t>
      </w:r>
    </w:p>
    <w:p w14:paraId="27D83253" w14:textId="67D72DF4" w:rsidR="002846B7" w:rsidRPr="00187E80" w:rsidRDefault="002846B7" w:rsidP="00FA0302">
      <w:pPr>
        <w:jc w:val="both"/>
        <w:rPr>
          <w:rFonts w:ascii="Arial" w:hAnsi="Arial" w:cs="Arial"/>
          <w:u w:val="single"/>
        </w:rPr>
      </w:pPr>
      <w:r w:rsidRPr="00187E80">
        <w:rPr>
          <w:rFonts w:ascii="Arial" w:hAnsi="Arial" w:cs="Arial"/>
          <w:u w:val="single"/>
        </w:rPr>
        <w:t>Methods</w:t>
      </w:r>
      <w:r w:rsidR="00C11474" w:rsidRPr="00187E80">
        <w:rPr>
          <w:rFonts w:ascii="Arial" w:hAnsi="Arial" w:cs="Arial"/>
        </w:rPr>
        <w:t>.</w:t>
      </w:r>
    </w:p>
    <w:p w14:paraId="6C637C52" w14:textId="09F39535" w:rsidR="00AA4B5E" w:rsidRPr="00187E80" w:rsidRDefault="00AA4B5E" w:rsidP="00AA4B5E">
      <w:pPr>
        <w:rPr>
          <w:rFonts w:ascii="Arial" w:hAnsi="Arial" w:cs="Arial"/>
        </w:rPr>
      </w:pPr>
      <w:r w:rsidRPr="00187E80">
        <w:rPr>
          <w:rFonts w:ascii="Arial" w:hAnsi="Arial" w:cs="Arial"/>
        </w:rPr>
        <w:t>1</w:t>
      </w:r>
      <w:r w:rsidR="004E25E1">
        <w:rPr>
          <w:rFonts w:ascii="Arial" w:hAnsi="Arial" w:cs="Arial"/>
        </w:rPr>
        <w:t>04</w:t>
      </w:r>
      <w:r w:rsidRPr="00187E80">
        <w:rPr>
          <w:rFonts w:ascii="Arial" w:hAnsi="Arial" w:cs="Arial"/>
        </w:rPr>
        <w:t xml:space="preserve"> </w:t>
      </w:r>
      <w:r w:rsidR="00F061D2">
        <w:rPr>
          <w:rFonts w:ascii="Arial" w:hAnsi="Arial" w:cs="Arial"/>
        </w:rPr>
        <w:t xml:space="preserve">unselected </w:t>
      </w:r>
      <w:r w:rsidR="00607729">
        <w:rPr>
          <w:rFonts w:ascii="Arial" w:hAnsi="Arial" w:cs="Arial"/>
        </w:rPr>
        <w:t>adults</w:t>
      </w:r>
      <w:r w:rsidRPr="00187E80">
        <w:rPr>
          <w:rFonts w:ascii="Arial" w:hAnsi="Arial" w:cs="Arial"/>
        </w:rPr>
        <w:t xml:space="preserve"> with T1DM (</w:t>
      </w:r>
      <w:r w:rsidR="004E25E1">
        <w:rPr>
          <w:rFonts w:ascii="Arial" w:hAnsi="Arial" w:cs="Arial"/>
        </w:rPr>
        <w:t>39</w:t>
      </w:r>
      <w:r w:rsidRPr="00187E80">
        <w:rPr>
          <w:rFonts w:ascii="Arial" w:hAnsi="Arial" w:cs="Arial"/>
        </w:rPr>
        <w:t xml:space="preserve"> with, and 65 without, CGM), </w:t>
      </w:r>
      <w:r w:rsidR="00F061D2">
        <w:rPr>
          <w:rFonts w:ascii="Arial" w:hAnsi="Arial" w:cs="Arial"/>
        </w:rPr>
        <w:t xml:space="preserve">attending </w:t>
      </w:r>
      <w:r w:rsidR="006C7348" w:rsidRPr="00187E80">
        <w:rPr>
          <w:rFonts w:ascii="Arial" w:hAnsi="Arial" w:cs="Arial"/>
        </w:rPr>
        <w:t>metropolitan public</w:t>
      </w:r>
      <w:r w:rsidRPr="00187E80">
        <w:rPr>
          <w:rFonts w:ascii="Arial" w:hAnsi="Arial" w:cs="Arial"/>
        </w:rPr>
        <w:t xml:space="preserve"> hospital </w:t>
      </w:r>
      <w:r w:rsidR="006C7348" w:rsidRPr="00187E80">
        <w:rPr>
          <w:rFonts w:ascii="Arial" w:hAnsi="Arial" w:cs="Arial"/>
        </w:rPr>
        <w:t>outpatient departments</w:t>
      </w:r>
      <w:r w:rsidRPr="00187E80">
        <w:rPr>
          <w:rFonts w:ascii="Arial" w:hAnsi="Arial" w:cs="Arial"/>
        </w:rPr>
        <w:t>,</w:t>
      </w:r>
      <w:r w:rsidR="00753C73">
        <w:rPr>
          <w:rFonts w:ascii="Arial" w:hAnsi="Arial" w:cs="Arial"/>
        </w:rPr>
        <w:t xml:space="preserve"> </w:t>
      </w:r>
      <w:r w:rsidR="00F27C59">
        <w:rPr>
          <w:rFonts w:ascii="Arial" w:hAnsi="Arial" w:cs="Arial"/>
        </w:rPr>
        <w:t>provided demographic</w:t>
      </w:r>
      <w:r w:rsidR="00981FAD">
        <w:rPr>
          <w:rFonts w:ascii="Arial" w:hAnsi="Arial" w:cs="Arial"/>
        </w:rPr>
        <w:t xml:space="preserve"> information</w:t>
      </w:r>
      <w:r w:rsidR="00F27C59">
        <w:rPr>
          <w:rFonts w:ascii="Arial" w:hAnsi="Arial" w:cs="Arial"/>
        </w:rPr>
        <w:t xml:space="preserve"> and </w:t>
      </w:r>
      <w:r w:rsidR="00981FAD">
        <w:rPr>
          <w:rFonts w:ascii="Arial" w:hAnsi="Arial" w:cs="Arial"/>
        </w:rPr>
        <w:t xml:space="preserve">their </w:t>
      </w:r>
      <w:r w:rsidR="00F27C59">
        <w:rPr>
          <w:rFonts w:ascii="Arial" w:hAnsi="Arial" w:cs="Arial"/>
        </w:rPr>
        <w:t xml:space="preserve">diabetes </w:t>
      </w:r>
      <w:r w:rsidR="00981FAD">
        <w:rPr>
          <w:rFonts w:ascii="Arial" w:hAnsi="Arial" w:cs="Arial"/>
        </w:rPr>
        <w:t>history</w:t>
      </w:r>
      <w:r w:rsidR="00F27C59">
        <w:rPr>
          <w:rFonts w:ascii="Arial" w:hAnsi="Arial" w:cs="Arial"/>
        </w:rPr>
        <w:t xml:space="preserve"> alongside completion of the </w:t>
      </w:r>
      <w:r w:rsidR="00753C73">
        <w:rPr>
          <w:rFonts w:ascii="Arial" w:hAnsi="Arial" w:cs="Arial"/>
        </w:rPr>
        <w:t>17-item Di</w:t>
      </w:r>
      <w:r w:rsidRPr="00187E80">
        <w:rPr>
          <w:rFonts w:ascii="Arial" w:hAnsi="Arial" w:cs="Arial"/>
        </w:rPr>
        <w:t xml:space="preserve">abetes </w:t>
      </w:r>
      <w:r w:rsidR="00753C73">
        <w:rPr>
          <w:rFonts w:ascii="Arial" w:hAnsi="Arial" w:cs="Arial"/>
        </w:rPr>
        <w:t>D</w:t>
      </w:r>
      <w:r w:rsidRPr="00187E80">
        <w:rPr>
          <w:rFonts w:ascii="Arial" w:hAnsi="Arial" w:cs="Arial"/>
        </w:rPr>
        <w:t>istress</w:t>
      </w:r>
      <w:r w:rsidR="00753C73">
        <w:rPr>
          <w:rFonts w:ascii="Arial" w:hAnsi="Arial" w:cs="Arial"/>
        </w:rPr>
        <w:t xml:space="preserve"> Scale</w:t>
      </w:r>
      <w:r w:rsidRPr="00187E80">
        <w:rPr>
          <w:rFonts w:ascii="Arial" w:hAnsi="Arial" w:cs="Arial"/>
        </w:rPr>
        <w:t xml:space="preserve"> (DDS-17).</w:t>
      </w:r>
      <w:r w:rsidR="00E127CC" w:rsidRPr="00187E80">
        <w:rPr>
          <w:rFonts w:ascii="Arial" w:hAnsi="Arial" w:cs="Arial"/>
        </w:rPr>
        <w:t xml:space="preserve"> </w:t>
      </w:r>
      <w:r w:rsidR="00753C73">
        <w:rPr>
          <w:rFonts w:ascii="Arial" w:hAnsi="Arial" w:cs="Arial"/>
        </w:rPr>
        <w:t>The s</w:t>
      </w:r>
      <w:r w:rsidR="004F6A99">
        <w:rPr>
          <w:rFonts w:ascii="Arial" w:hAnsi="Arial" w:cs="Arial"/>
        </w:rPr>
        <w:t>tudent’s t-test was used to compare the baseline characteristics</w:t>
      </w:r>
      <w:r w:rsidR="00AF1D0C">
        <w:rPr>
          <w:rFonts w:ascii="Arial" w:hAnsi="Arial" w:cs="Arial"/>
        </w:rPr>
        <w:t xml:space="preserve"> and </w:t>
      </w:r>
      <w:r w:rsidR="004F6A99">
        <w:rPr>
          <w:rFonts w:ascii="Arial" w:hAnsi="Arial" w:cs="Arial"/>
        </w:rPr>
        <w:t>DDS-17</w:t>
      </w:r>
      <w:r w:rsidR="00AF1D0C">
        <w:rPr>
          <w:rFonts w:ascii="Arial" w:hAnsi="Arial" w:cs="Arial"/>
        </w:rPr>
        <w:t xml:space="preserve"> </w:t>
      </w:r>
      <w:r w:rsidR="004F6A99">
        <w:rPr>
          <w:rFonts w:ascii="Arial" w:hAnsi="Arial" w:cs="Arial"/>
        </w:rPr>
        <w:t>scores between the cohorts using, and without, CGM</w:t>
      </w:r>
      <w:r w:rsidR="00E127CC" w:rsidRPr="00187E80">
        <w:rPr>
          <w:rFonts w:ascii="Arial" w:hAnsi="Arial" w:cs="Arial"/>
        </w:rPr>
        <w:t>, with p</w:t>
      </w:r>
      <w:r w:rsidR="002A71FB" w:rsidRPr="00187E80">
        <w:rPr>
          <w:rFonts w:ascii="Arial" w:hAnsi="Arial" w:cs="Arial"/>
        </w:rPr>
        <w:t xml:space="preserve"> </w:t>
      </w:r>
      <w:r w:rsidR="00E127CC" w:rsidRPr="00187E80">
        <w:rPr>
          <w:rFonts w:ascii="Arial" w:hAnsi="Arial" w:cs="Arial"/>
        </w:rPr>
        <w:t>&lt;</w:t>
      </w:r>
      <w:r w:rsidR="002A71FB" w:rsidRPr="00187E80">
        <w:rPr>
          <w:rFonts w:ascii="Arial" w:hAnsi="Arial" w:cs="Arial"/>
        </w:rPr>
        <w:t xml:space="preserve"> </w:t>
      </w:r>
      <w:r w:rsidR="00E127CC" w:rsidRPr="00187E80">
        <w:rPr>
          <w:rFonts w:ascii="Arial" w:hAnsi="Arial" w:cs="Arial"/>
        </w:rPr>
        <w:t>0.05 denoting statistical significance.</w:t>
      </w:r>
    </w:p>
    <w:p w14:paraId="62A34557" w14:textId="5177D394" w:rsidR="002846B7" w:rsidRPr="00187E80" w:rsidRDefault="002846B7" w:rsidP="00FA0302">
      <w:pPr>
        <w:jc w:val="both"/>
        <w:rPr>
          <w:rFonts w:ascii="Arial" w:hAnsi="Arial" w:cs="Arial"/>
          <w:u w:val="single"/>
        </w:rPr>
      </w:pPr>
      <w:r w:rsidRPr="00187E80">
        <w:rPr>
          <w:rFonts w:ascii="Arial" w:hAnsi="Arial" w:cs="Arial"/>
          <w:u w:val="single"/>
        </w:rPr>
        <w:t>Results</w:t>
      </w:r>
    </w:p>
    <w:p w14:paraId="6E09F53D" w14:textId="20D16E4D" w:rsidR="00AA4B5E" w:rsidRPr="00187E80" w:rsidRDefault="00964772" w:rsidP="002A71FB">
      <w:pPr>
        <w:rPr>
          <w:rFonts w:ascii="Arial" w:hAnsi="Arial" w:cs="Arial"/>
        </w:rPr>
      </w:pPr>
      <w:r>
        <w:rPr>
          <w:rFonts w:ascii="Arial" w:hAnsi="Arial" w:cs="Arial"/>
        </w:rPr>
        <w:t>CGM users were</w:t>
      </w:r>
      <w:r w:rsidR="006C7348" w:rsidRPr="00187E80">
        <w:rPr>
          <w:rFonts w:ascii="Arial" w:hAnsi="Arial" w:cs="Arial"/>
        </w:rPr>
        <w:t xml:space="preserve"> older (</w:t>
      </w:r>
      <w:r w:rsidR="004E25E1">
        <w:rPr>
          <w:rFonts w:ascii="Arial" w:hAnsi="Arial" w:cs="Arial"/>
        </w:rPr>
        <w:t>51</w:t>
      </w:r>
      <w:r w:rsidR="006C7348" w:rsidRPr="00187E80"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</w:rPr>
          <m:t>±</m:t>
        </m:r>
      </m:oMath>
      <w:r w:rsidR="006C7348" w:rsidRPr="00187E80">
        <w:rPr>
          <w:rFonts w:ascii="Arial" w:hAnsi="Arial" w:cs="Arial"/>
        </w:rPr>
        <w:t xml:space="preserve"> </w:t>
      </w:r>
      <w:r w:rsidR="004E25E1">
        <w:rPr>
          <w:rFonts w:ascii="Arial" w:hAnsi="Arial" w:cs="Arial"/>
        </w:rPr>
        <w:t>2.5</w:t>
      </w:r>
      <w:r w:rsidR="006C7348" w:rsidRPr="00187E80">
        <w:rPr>
          <w:rFonts w:ascii="Arial" w:hAnsi="Arial" w:cs="Arial"/>
        </w:rPr>
        <w:t xml:space="preserve"> vs 43 </w:t>
      </w:r>
      <m:oMath>
        <m:r>
          <m:rPr>
            <m:sty m:val="p"/>
          </m:rPr>
          <w:rPr>
            <w:rFonts w:ascii="Cambria Math" w:hAnsi="Cambria Math" w:cs="Arial"/>
          </w:rPr>
          <m:t>±</m:t>
        </m:r>
      </m:oMath>
      <w:r w:rsidR="006C7348" w:rsidRPr="00187E80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years</w:t>
      </w:r>
      <w:r w:rsidR="006C7348" w:rsidRPr="00187E80">
        <w:rPr>
          <w:rFonts w:ascii="Arial" w:hAnsi="Arial" w:cs="Arial"/>
        </w:rPr>
        <w:t>, p =</w:t>
      </w:r>
      <w:r w:rsidR="002A71FB" w:rsidRPr="00187E80">
        <w:rPr>
          <w:rFonts w:ascii="Arial" w:hAnsi="Arial" w:cs="Arial"/>
        </w:rPr>
        <w:t xml:space="preserve"> </w:t>
      </w:r>
      <w:r w:rsidR="006C7348" w:rsidRPr="00187E80">
        <w:rPr>
          <w:rFonts w:ascii="Arial" w:hAnsi="Arial" w:cs="Arial"/>
        </w:rPr>
        <w:t>0.0</w:t>
      </w:r>
      <w:r w:rsidR="004E25E1">
        <w:rPr>
          <w:rFonts w:ascii="Arial" w:hAnsi="Arial" w:cs="Arial"/>
        </w:rPr>
        <w:t>1</w:t>
      </w:r>
      <w:r w:rsidR="006C7348" w:rsidRPr="00187E8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but other baseline characteristics were similar between the cohorts</w:t>
      </w:r>
      <w:r w:rsidR="00706A3C" w:rsidRPr="00187E80">
        <w:rPr>
          <w:rFonts w:ascii="Arial" w:hAnsi="Arial" w:cs="Arial"/>
        </w:rPr>
        <w:t xml:space="preserve">. </w:t>
      </w:r>
      <w:r w:rsidR="002A71FB" w:rsidRPr="00187E80">
        <w:rPr>
          <w:rFonts w:ascii="Arial" w:hAnsi="Arial" w:cs="Arial"/>
        </w:rPr>
        <w:t>CGM</w:t>
      </w:r>
      <w:r w:rsidR="00187E80">
        <w:rPr>
          <w:rFonts w:ascii="Arial" w:hAnsi="Arial" w:cs="Arial"/>
        </w:rPr>
        <w:t xml:space="preserve"> </w:t>
      </w:r>
      <w:r w:rsidR="002A71FB" w:rsidRPr="00187E80">
        <w:rPr>
          <w:rFonts w:ascii="Arial" w:hAnsi="Arial" w:cs="Arial"/>
        </w:rPr>
        <w:t xml:space="preserve">users experienced significantly greater emotional burden </w:t>
      </w:r>
      <w:r w:rsidR="00706A3C" w:rsidRPr="00187E80">
        <w:rPr>
          <w:rFonts w:ascii="Arial" w:hAnsi="Arial" w:cs="Arial"/>
        </w:rPr>
        <w:t>but</w:t>
      </w:r>
      <w:r w:rsidR="002A71FB" w:rsidRPr="00187E80">
        <w:rPr>
          <w:rFonts w:ascii="Arial" w:hAnsi="Arial" w:cs="Arial"/>
        </w:rPr>
        <w:t xml:space="preserve"> less physician and regimen-related distress</w:t>
      </w:r>
      <w:r w:rsidR="0000416D">
        <w:rPr>
          <w:rFonts w:ascii="Arial" w:hAnsi="Arial" w:cs="Arial"/>
        </w:rPr>
        <w:t>,</w:t>
      </w:r>
      <w:r w:rsidR="002A71FB" w:rsidRPr="00187E80">
        <w:rPr>
          <w:rFonts w:ascii="Arial" w:hAnsi="Arial" w:cs="Arial"/>
        </w:rPr>
        <w:t xml:space="preserve"> with similar mean</w:t>
      </w:r>
      <w:r w:rsidR="00706A3C" w:rsidRPr="00187E80">
        <w:rPr>
          <w:rFonts w:ascii="Arial" w:hAnsi="Arial" w:cs="Arial"/>
        </w:rPr>
        <w:t xml:space="preserve"> interpersonal distress and overall</w:t>
      </w:r>
      <w:r w:rsidR="002A71FB" w:rsidRPr="00187E80">
        <w:rPr>
          <w:rFonts w:ascii="Arial" w:hAnsi="Arial" w:cs="Arial"/>
        </w:rPr>
        <w:t xml:space="preserve"> DDS-17</w:t>
      </w:r>
      <w:r w:rsidR="00706A3C" w:rsidRPr="00187E80">
        <w:rPr>
          <w:rFonts w:ascii="Arial" w:hAnsi="Arial" w:cs="Arial"/>
        </w:rPr>
        <w:t xml:space="preserve"> scores</w:t>
      </w:r>
      <w:r w:rsidR="00751BF7" w:rsidRPr="00187E80">
        <w:rPr>
          <w:rFonts w:ascii="Arial" w:hAnsi="Arial" w:cs="Arial"/>
        </w:rPr>
        <w:t xml:space="preserve"> (Figure)</w:t>
      </w:r>
      <w:r w:rsidR="0000416D">
        <w:rPr>
          <w:rFonts w:ascii="Arial" w:hAnsi="Arial" w:cs="Arial"/>
        </w:rPr>
        <w:t>,</w:t>
      </w:r>
      <w:r w:rsidR="00187E80">
        <w:rPr>
          <w:rFonts w:ascii="Arial" w:hAnsi="Arial" w:cs="Arial"/>
        </w:rPr>
        <w:t xml:space="preserve"> relative to </w:t>
      </w:r>
      <w:r w:rsidR="0000416D">
        <w:rPr>
          <w:rFonts w:ascii="Arial" w:hAnsi="Arial" w:cs="Arial"/>
        </w:rPr>
        <w:t>subjects</w:t>
      </w:r>
      <w:r w:rsidR="00187E80">
        <w:rPr>
          <w:rFonts w:ascii="Arial" w:hAnsi="Arial" w:cs="Arial"/>
        </w:rPr>
        <w:t xml:space="preserve"> without CGM</w:t>
      </w:r>
      <w:r w:rsidR="002A71FB" w:rsidRPr="00187E80">
        <w:rPr>
          <w:rFonts w:ascii="Arial" w:hAnsi="Arial" w:cs="Arial"/>
        </w:rPr>
        <w:t>.</w:t>
      </w:r>
      <w:r w:rsidR="00706A3C" w:rsidRPr="00187E80">
        <w:rPr>
          <w:rFonts w:ascii="Arial" w:hAnsi="Arial" w:cs="Arial"/>
        </w:rPr>
        <w:t xml:space="preserve"> </w:t>
      </w:r>
    </w:p>
    <w:p w14:paraId="551CFAD2" w14:textId="22FD36F3" w:rsidR="002846B7" w:rsidRPr="00187E80" w:rsidRDefault="002846B7" w:rsidP="00FA0302">
      <w:pPr>
        <w:jc w:val="both"/>
        <w:rPr>
          <w:rFonts w:ascii="Arial" w:hAnsi="Arial" w:cs="Arial"/>
          <w:u w:val="single"/>
        </w:rPr>
      </w:pPr>
      <w:r w:rsidRPr="00187E80">
        <w:rPr>
          <w:rFonts w:ascii="Arial" w:hAnsi="Arial" w:cs="Arial"/>
          <w:u w:val="single"/>
        </w:rPr>
        <w:t xml:space="preserve">Conclusion </w:t>
      </w:r>
    </w:p>
    <w:p w14:paraId="55FC9A74" w14:textId="525015FE" w:rsidR="00FA0302" w:rsidRPr="00CD2BF7" w:rsidRDefault="00981FAD" w:rsidP="00882C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our interim analysis, </w:t>
      </w:r>
      <w:r w:rsidR="00D02ECA" w:rsidRPr="002A71FB">
        <w:rPr>
          <w:rFonts w:ascii="Arial" w:hAnsi="Arial" w:cs="Arial"/>
        </w:rPr>
        <w:t xml:space="preserve">CGM use </w:t>
      </w:r>
      <w:r w:rsidR="0000416D">
        <w:rPr>
          <w:rFonts w:ascii="Arial" w:hAnsi="Arial" w:cs="Arial"/>
        </w:rPr>
        <w:t xml:space="preserve">was </w:t>
      </w:r>
      <w:r w:rsidR="00D02ECA" w:rsidRPr="002A71FB">
        <w:rPr>
          <w:rFonts w:ascii="Arial" w:hAnsi="Arial" w:cs="Arial"/>
        </w:rPr>
        <w:t>associated with</w:t>
      </w:r>
      <w:r w:rsidR="00AA4B5E" w:rsidRPr="002A71FB">
        <w:rPr>
          <w:rFonts w:ascii="Arial" w:hAnsi="Arial" w:cs="Arial"/>
        </w:rPr>
        <w:t xml:space="preserve"> </w:t>
      </w:r>
      <w:r w:rsidR="00964772">
        <w:rPr>
          <w:rFonts w:ascii="Arial" w:hAnsi="Arial" w:cs="Arial"/>
        </w:rPr>
        <w:t xml:space="preserve">both </w:t>
      </w:r>
      <w:r w:rsidR="00AA4B5E" w:rsidRPr="002A71FB">
        <w:rPr>
          <w:rFonts w:ascii="Arial" w:hAnsi="Arial" w:cs="Arial"/>
        </w:rPr>
        <w:t xml:space="preserve">beneficial and detrimental effects on </w:t>
      </w:r>
      <w:r w:rsidR="00187E80">
        <w:rPr>
          <w:rFonts w:ascii="Arial" w:hAnsi="Arial" w:cs="Arial"/>
        </w:rPr>
        <w:t xml:space="preserve">subcategories of </w:t>
      </w:r>
      <w:r w:rsidR="00AA4B5E" w:rsidRPr="002A71FB">
        <w:rPr>
          <w:rFonts w:ascii="Arial" w:hAnsi="Arial" w:cs="Arial"/>
        </w:rPr>
        <w:t>diabetes distress</w:t>
      </w:r>
      <w:r w:rsidR="00AA4B5E" w:rsidRPr="008B02DD">
        <w:rPr>
          <w:rFonts w:ascii="Arial" w:hAnsi="Arial" w:cs="Arial"/>
        </w:rPr>
        <w:t>.</w:t>
      </w:r>
      <w:r w:rsidR="008B02DD">
        <w:rPr>
          <w:rFonts w:ascii="Arial" w:hAnsi="Arial" w:cs="Arial"/>
        </w:rPr>
        <w:t xml:space="preserve"> </w:t>
      </w:r>
      <w:r w:rsidR="000A7D98" w:rsidRPr="002A71FB">
        <w:rPr>
          <w:rFonts w:ascii="Arial" w:hAnsi="Arial" w:cs="Arial"/>
        </w:rPr>
        <w:t>Diabetes</w:t>
      </w:r>
      <w:r w:rsidR="00AA4B5E" w:rsidRPr="002A71FB">
        <w:rPr>
          <w:rFonts w:ascii="Arial" w:hAnsi="Arial" w:cs="Arial"/>
        </w:rPr>
        <w:t xml:space="preserve"> distress </w:t>
      </w:r>
      <w:r w:rsidR="00187E80">
        <w:rPr>
          <w:rFonts w:ascii="Arial" w:hAnsi="Arial" w:cs="Arial"/>
        </w:rPr>
        <w:t xml:space="preserve">assessment </w:t>
      </w:r>
      <w:r w:rsidR="00AA4B5E" w:rsidRPr="002A71FB">
        <w:rPr>
          <w:rFonts w:ascii="Arial" w:hAnsi="Arial" w:cs="Arial"/>
        </w:rPr>
        <w:t>should be considered in the initiation and follow-up of CGM in type 1 diabetes.</w:t>
      </w:r>
    </w:p>
    <w:p w14:paraId="3FAC4B63" w14:textId="71C444CF" w:rsidR="00FB0260" w:rsidRPr="00751BF7" w:rsidRDefault="00C4770C" w:rsidP="005819B4">
      <w:pPr>
        <w:rPr>
          <w:rFonts w:ascii="Arial" w:hAnsi="Arial" w:cs="Arial"/>
          <w:highlight w:val="yellow"/>
        </w:rPr>
      </w:pPr>
      <w:r w:rsidRPr="00C4770C">
        <w:rPr>
          <w:rFonts w:ascii="Arial" w:hAnsi="Arial" w:cs="Arial"/>
          <w:noProof/>
        </w:rPr>
        <w:drawing>
          <wp:inline distT="0" distB="0" distL="0" distR="0" wp14:anchorId="492E7934" wp14:editId="3CE8393F">
            <wp:extent cx="5731510" cy="2840355"/>
            <wp:effectExtent l="0" t="0" r="0" b="0"/>
            <wp:docPr id="974329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290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260" w:rsidRPr="00751BF7" w:rsidSect="00FA0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45E"/>
    <w:multiLevelType w:val="hybridMultilevel"/>
    <w:tmpl w:val="BF5A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6BB"/>
    <w:multiLevelType w:val="hybridMultilevel"/>
    <w:tmpl w:val="20780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2613"/>
    <w:multiLevelType w:val="hybridMultilevel"/>
    <w:tmpl w:val="CDCEE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668"/>
    <w:multiLevelType w:val="hybridMultilevel"/>
    <w:tmpl w:val="70120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25116"/>
    <w:multiLevelType w:val="hybridMultilevel"/>
    <w:tmpl w:val="EA1E1A50"/>
    <w:lvl w:ilvl="0" w:tplc="CCC43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441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6A8F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1B493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2F285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9A4AA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D560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02EE0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9D422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0C80BEB"/>
    <w:multiLevelType w:val="hybridMultilevel"/>
    <w:tmpl w:val="CF96294E"/>
    <w:lvl w:ilvl="0" w:tplc="06787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D9667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C2A5F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290B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6F4CB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90802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F1CF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9C4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124F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50A51436"/>
    <w:multiLevelType w:val="hybridMultilevel"/>
    <w:tmpl w:val="9D2C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55A7D"/>
    <w:multiLevelType w:val="hybridMultilevel"/>
    <w:tmpl w:val="64F21CD6"/>
    <w:lvl w:ilvl="0" w:tplc="645CB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375A"/>
    <w:multiLevelType w:val="hybridMultilevel"/>
    <w:tmpl w:val="92E28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17053"/>
    <w:multiLevelType w:val="hybridMultilevel"/>
    <w:tmpl w:val="9A0A1C7A"/>
    <w:lvl w:ilvl="0" w:tplc="08B46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75048">
    <w:abstractNumId w:val="8"/>
  </w:num>
  <w:num w:numId="2" w16cid:durableId="1565988195">
    <w:abstractNumId w:val="2"/>
  </w:num>
  <w:num w:numId="3" w16cid:durableId="2143233304">
    <w:abstractNumId w:val="6"/>
  </w:num>
  <w:num w:numId="4" w16cid:durableId="218444397">
    <w:abstractNumId w:val="7"/>
  </w:num>
  <w:num w:numId="5" w16cid:durableId="1394354748">
    <w:abstractNumId w:val="9"/>
  </w:num>
  <w:num w:numId="6" w16cid:durableId="1313634171">
    <w:abstractNumId w:val="5"/>
  </w:num>
  <w:num w:numId="7" w16cid:durableId="1649894976">
    <w:abstractNumId w:val="4"/>
  </w:num>
  <w:num w:numId="8" w16cid:durableId="1941333272">
    <w:abstractNumId w:val="0"/>
  </w:num>
  <w:num w:numId="9" w16cid:durableId="246811175">
    <w:abstractNumId w:val="1"/>
  </w:num>
  <w:num w:numId="10" w16cid:durableId="876965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B7"/>
    <w:rsid w:val="00000C28"/>
    <w:rsid w:val="0000416D"/>
    <w:rsid w:val="00047421"/>
    <w:rsid w:val="00070194"/>
    <w:rsid w:val="0007550D"/>
    <w:rsid w:val="000821EB"/>
    <w:rsid w:val="00082DEB"/>
    <w:rsid w:val="00090D4D"/>
    <w:rsid w:val="000A415F"/>
    <w:rsid w:val="000A7D98"/>
    <w:rsid w:val="000B0930"/>
    <w:rsid w:val="000C1FB0"/>
    <w:rsid w:val="000D2263"/>
    <w:rsid w:val="000F6E1D"/>
    <w:rsid w:val="001171A5"/>
    <w:rsid w:val="00121A74"/>
    <w:rsid w:val="00147DAD"/>
    <w:rsid w:val="00154386"/>
    <w:rsid w:val="00186132"/>
    <w:rsid w:val="00187E80"/>
    <w:rsid w:val="001905D1"/>
    <w:rsid w:val="001A20EB"/>
    <w:rsid w:val="001E56BC"/>
    <w:rsid w:val="00221F51"/>
    <w:rsid w:val="00237167"/>
    <w:rsid w:val="00246C4B"/>
    <w:rsid w:val="002507A8"/>
    <w:rsid w:val="00261991"/>
    <w:rsid w:val="00266D42"/>
    <w:rsid w:val="002743B5"/>
    <w:rsid w:val="00274F4C"/>
    <w:rsid w:val="002846B7"/>
    <w:rsid w:val="00296B67"/>
    <w:rsid w:val="002A71FB"/>
    <w:rsid w:val="003019BE"/>
    <w:rsid w:val="00312608"/>
    <w:rsid w:val="003172D5"/>
    <w:rsid w:val="003178DC"/>
    <w:rsid w:val="00317E50"/>
    <w:rsid w:val="003226C3"/>
    <w:rsid w:val="003377DB"/>
    <w:rsid w:val="00340664"/>
    <w:rsid w:val="00347E80"/>
    <w:rsid w:val="00357E8A"/>
    <w:rsid w:val="003707D4"/>
    <w:rsid w:val="003816C6"/>
    <w:rsid w:val="00386A91"/>
    <w:rsid w:val="003875FF"/>
    <w:rsid w:val="003940BE"/>
    <w:rsid w:val="003B00AD"/>
    <w:rsid w:val="003B6699"/>
    <w:rsid w:val="003D7B69"/>
    <w:rsid w:val="003E1662"/>
    <w:rsid w:val="00437ED6"/>
    <w:rsid w:val="00442CB0"/>
    <w:rsid w:val="004635C2"/>
    <w:rsid w:val="004B2BA6"/>
    <w:rsid w:val="004B67FF"/>
    <w:rsid w:val="004E25E1"/>
    <w:rsid w:val="004F6A99"/>
    <w:rsid w:val="00512C63"/>
    <w:rsid w:val="00567550"/>
    <w:rsid w:val="005712A3"/>
    <w:rsid w:val="005819B4"/>
    <w:rsid w:val="005968CE"/>
    <w:rsid w:val="005E5085"/>
    <w:rsid w:val="00600CBE"/>
    <w:rsid w:val="00607729"/>
    <w:rsid w:val="00632A41"/>
    <w:rsid w:val="006C7348"/>
    <w:rsid w:val="006D3717"/>
    <w:rsid w:val="006F62D4"/>
    <w:rsid w:val="00703B27"/>
    <w:rsid w:val="00706A3C"/>
    <w:rsid w:val="00713DD9"/>
    <w:rsid w:val="00737942"/>
    <w:rsid w:val="00751BF7"/>
    <w:rsid w:val="00753C73"/>
    <w:rsid w:val="007B5803"/>
    <w:rsid w:val="007D1855"/>
    <w:rsid w:val="007D541B"/>
    <w:rsid w:val="007F4298"/>
    <w:rsid w:val="007F6C90"/>
    <w:rsid w:val="00802DDD"/>
    <w:rsid w:val="00821367"/>
    <w:rsid w:val="0087156E"/>
    <w:rsid w:val="00882CE5"/>
    <w:rsid w:val="0089258F"/>
    <w:rsid w:val="008A73F6"/>
    <w:rsid w:val="008B02DD"/>
    <w:rsid w:val="008B4193"/>
    <w:rsid w:val="008C4960"/>
    <w:rsid w:val="008C7F91"/>
    <w:rsid w:val="00937984"/>
    <w:rsid w:val="00962624"/>
    <w:rsid w:val="00964772"/>
    <w:rsid w:val="00965CF9"/>
    <w:rsid w:val="009755A5"/>
    <w:rsid w:val="00981FAD"/>
    <w:rsid w:val="00982672"/>
    <w:rsid w:val="009B3566"/>
    <w:rsid w:val="009D2934"/>
    <w:rsid w:val="00A2560D"/>
    <w:rsid w:val="00A31996"/>
    <w:rsid w:val="00A35331"/>
    <w:rsid w:val="00A41B52"/>
    <w:rsid w:val="00A46B9E"/>
    <w:rsid w:val="00A525A8"/>
    <w:rsid w:val="00A52F69"/>
    <w:rsid w:val="00A73709"/>
    <w:rsid w:val="00AA108B"/>
    <w:rsid w:val="00AA2B6D"/>
    <w:rsid w:val="00AA4B5E"/>
    <w:rsid w:val="00AA4C6D"/>
    <w:rsid w:val="00AE36B7"/>
    <w:rsid w:val="00AF1D0C"/>
    <w:rsid w:val="00B20169"/>
    <w:rsid w:val="00B2035D"/>
    <w:rsid w:val="00B2199B"/>
    <w:rsid w:val="00B355AA"/>
    <w:rsid w:val="00B41A1F"/>
    <w:rsid w:val="00B86E9E"/>
    <w:rsid w:val="00BA14A5"/>
    <w:rsid w:val="00BB51E4"/>
    <w:rsid w:val="00BC54A9"/>
    <w:rsid w:val="00BD25A3"/>
    <w:rsid w:val="00BD4951"/>
    <w:rsid w:val="00C11474"/>
    <w:rsid w:val="00C4770C"/>
    <w:rsid w:val="00C54A0A"/>
    <w:rsid w:val="00C777CF"/>
    <w:rsid w:val="00C812E6"/>
    <w:rsid w:val="00C83879"/>
    <w:rsid w:val="00CB61DD"/>
    <w:rsid w:val="00CB7875"/>
    <w:rsid w:val="00CD2BF7"/>
    <w:rsid w:val="00CD5B0F"/>
    <w:rsid w:val="00CD6399"/>
    <w:rsid w:val="00CF4467"/>
    <w:rsid w:val="00D02ECA"/>
    <w:rsid w:val="00D07923"/>
    <w:rsid w:val="00D606D7"/>
    <w:rsid w:val="00D82548"/>
    <w:rsid w:val="00D82DB8"/>
    <w:rsid w:val="00D927F2"/>
    <w:rsid w:val="00D9344D"/>
    <w:rsid w:val="00DC1F6D"/>
    <w:rsid w:val="00DD3E65"/>
    <w:rsid w:val="00DE35E7"/>
    <w:rsid w:val="00E019AC"/>
    <w:rsid w:val="00E1228D"/>
    <w:rsid w:val="00E12726"/>
    <w:rsid w:val="00E127CC"/>
    <w:rsid w:val="00E1758C"/>
    <w:rsid w:val="00E25F38"/>
    <w:rsid w:val="00E36974"/>
    <w:rsid w:val="00E66138"/>
    <w:rsid w:val="00E81064"/>
    <w:rsid w:val="00EC12F2"/>
    <w:rsid w:val="00EF519E"/>
    <w:rsid w:val="00F01435"/>
    <w:rsid w:val="00F061D2"/>
    <w:rsid w:val="00F0696A"/>
    <w:rsid w:val="00F07643"/>
    <w:rsid w:val="00F264D1"/>
    <w:rsid w:val="00F27C59"/>
    <w:rsid w:val="00F331A7"/>
    <w:rsid w:val="00F34B92"/>
    <w:rsid w:val="00F479F3"/>
    <w:rsid w:val="00F61578"/>
    <w:rsid w:val="00F62431"/>
    <w:rsid w:val="00F74714"/>
    <w:rsid w:val="00F75AFB"/>
    <w:rsid w:val="00F82240"/>
    <w:rsid w:val="00F90E32"/>
    <w:rsid w:val="00F93B06"/>
    <w:rsid w:val="00FA0302"/>
    <w:rsid w:val="00FA74E3"/>
    <w:rsid w:val="00FB0260"/>
    <w:rsid w:val="00FB3771"/>
    <w:rsid w:val="00FE59D8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5CEB"/>
  <w15:chartTrackingRefBased/>
  <w15:docId w15:val="{68A39718-55AB-4CC1-8062-FE1106A1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6B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35E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C73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E3E93-B88C-5F4E-90F3-2D80A529F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EC9DE-B992-4A21-BADD-AEF52FE8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3A060-2839-49AA-AD5C-F89243AC3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94697-BABD-4CBB-9144-6045DFC23D20}">
  <ds:schemaRefs>
    <ds:schemaRef ds:uri="6911e96c-4cc4-42d5-8e43-f93924cf6a05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cab52c9b-ab33-4221-8af9-54f8f2b86a8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Degreef</dc:creator>
  <cp:keywords/>
  <dc:description/>
  <cp:lastModifiedBy>Tanya Yandall</cp:lastModifiedBy>
  <cp:revision>2</cp:revision>
  <cp:lastPrinted>2026-03-11T14:42:00Z</cp:lastPrinted>
  <dcterms:created xsi:type="dcterms:W3CDTF">2026-03-15T22:57:00Z</dcterms:created>
  <dcterms:modified xsi:type="dcterms:W3CDTF">2026-03-15T22:57:00Z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