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Pr="00753338" w:rsidRDefault="009C374A" w:rsidP="00375B2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753338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AD975EB" w14:textId="0019C47E" w:rsidR="00753338" w:rsidRPr="00753338" w:rsidRDefault="00753338" w:rsidP="007533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</w:rPr>
            </w:pPr>
            <w:r w:rsidRPr="0075333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10442B3E" w14:textId="599882A9" w:rsidR="00F00B7C" w:rsidRPr="00753338" w:rsidRDefault="00F00B7C" w:rsidP="007533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 xml:space="preserve">Tent-Based Urbanism: Legal and Anthropological Perspectives on Permitting, Liability, and Embodied Sustainability in Climate-Resilient Cities </w:t>
            </w:r>
          </w:p>
          <w:p w14:paraId="3F7D1534" w14:textId="77777777" w:rsidR="00C8423A" w:rsidRPr="00753338" w:rsidRDefault="00C8423A" w:rsidP="0075333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753338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Pr="00753338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Pr="00753338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3338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806BFDB" w14:textId="4D9A9889" w:rsidR="0065012F" w:rsidRPr="00753338" w:rsidRDefault="00F00B7C" w:rsidP="00F00B7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Fonts w:ascii="Arial" w:hAnsi="Arial" w:cs="Arial"/>
                <w:sz w:val="22"/>
                <w:szCs w:val="22"/>
              </w:rPr>
              <w:t>As cities confront escalating climate risks, housing shortages, and infrastructure challenges, flexible and adaptive urban models become imperative. Tent-based urbanism—encompassing tent cities and temporary settlements—presents a viable but underexplored strategy for climate adaptation. This research investigates how temporary settlements can aid in climate resilience, particularly in response to displacement, heat mitigation, and resource-efficient urban expansion.</w:t>
            </w:r>
          </w:p>
          <w:p w14:paraId="5DE13B32" w14:textId="77777777" w:rsidR="0065012F" w:rsidRPr="00753338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3338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7F454172" w14:textId="77777777" w:rsidR="00F00B7C" w:rsidRPr="00753338" w:rsidRDefault="00F00B7C" w:rsidP="00F00B7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Fonts w:ascii="Arial" w:hAnsi="Arial" w:cs="Arial"/>
                <w:sz w:val="22"/>
                <w:szCs w:val="22"/>
              </w:rPr>
              <w:t>This study aims to:</w:t>
            </w:r>
          </w:p>
          <w:p w14:paraId="1EECB744" w14:textId="77777777" w:rsidR="00F00B7C" w:rsidRPr="00753338" w:rsidRDefault="00F00B7C" w:rsidP="00F00B7C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Fonts w:ascii="Arial" w:hAnsi="Arial" w:cs="Arial"/>
                <w:sz w:val="22"/>
                <w:szCs w:val="22"/>
              </w:rPr>
              <w:t>Examine the legal and regulatory frameworks governing tent-based settlements in urban contexts.</w:t>
            </w:r>
          </w:p>
          <w:p w14:paraId="7A3F6120" w14:textId="77777777" w:rsidR="00F00B7C" w:rsidRPr="00753338" w:rsidRDefault="00F00B7C" w:rsidP="00F00B7C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Fonts w:ascii="Arial" w:hAnsi="Arial" w:cs="Arial"/>
                <w:sz w:val="22"/>
                <w:szCs w:val="22"/>
              </w:rPr>
              <w:t>Assess the liability and governance of tent-based settlements as a climate adaptation strategy.</w:t>
            </w:r>
          </w:p>
          <w:p w14:paraId="6C7DF605" w14:textId="77777777" w:rsidR="00F00B7C" w:rsidRPr="00753338" w:rsidRDefault="00F00B7C" w:rsidP="00F00B7C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Fonts w:ascii="Arial" w:hAnsi="Arial" w:cs="Arial"/>
                <w:sz w:val="22"/>
                <w:szCs w:val="22"/>
              </w:rPr>
              <w:t>Investigate the role of temporary housing in fostering embodied sustainability and adaptive urban planning.</w:t>
            </w:r>
          </w:p>
          <w:p w14:paraId="7DF7D437" w14:textId="4CDAE032" w:rsidR="0065012F" w:rsidRPr="00753338" w:rsidRDefault="00F00B7C" w:rsidP="00F00B7C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Fonts w:ascii="Arial" w:hAnsi="Arial" w:cs="Arial"/>
                <w:sz w:val="22"/>
                <w:szCs w:val="22"/>
              </w:rPr>
              <w:t>Provide policy recommendations for integrating temporary settlements into sustainable urban infrastructure.</w:t>
            </w:r>
          </w:p>
          <w:p w14:paraId="457D2D05" w14:textId="4552866C" w:rsidR="0065012F" w:rsidRPr="00753338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3338">
              <w:rPr>
                <w:rFonts w:ascii="Arial" w:hAnsi="Arial" w:cs="Arial"/>
                <w:b/>
                <w:sz w:val="22"/>
                <w:szCs w:val="22"/>
              </w:rPr>
              <w:t>Methodology</w:t>
            </w:r>
          </w:p>
          <w:p w14:paraId="2A891C22" w14:textId="77777777" w:rsidR="00F00B7C" w:rsidRPr="00753338" w:rsidRDefault="00F00B7C" w:rsidP="00F00B7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Fonts w:ascii="Arial" w:hAnsi="Arial" w:cs="Arial"/>
                <w:sz w:val="22"/>
                <w:szCs w:val="22"/>
              </w:rPr>
              <w:t>This research employs an interdisciplinary approach, combining:</w:t>
            </w:r>
          </w:p>
          <w:p w14:paraId="690908C2" w14:textId="77777777" w:rsidR="00F00B7C" w:rsidRPr="00753338" w:rsidRDefault="00F00B7C" w:rsidP="00F00B7C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Legal Analysis: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Examination of zoning laws, building codes, and liability frameworks across jurisdictions.</w:t>
            </w:r>
          </w:p>
          <w:p w14:paraId="1AA1F476" w14:textId="77777777" w:rsidR="00F00B7C" w:rsidRPr="00753338" w:rsidRDefault="00F00B7C" w:rsidP="00F00B7C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Comparative Case Studies: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Analysis of regulated temporary settlements in different regions, including India’s Forest Rights Act (2006) and similar global policies.</w:t>
            </w:r>
          </w:p>
          <w:p w14:paraId="522C219E" w14:textId="77777777" w:rsidR="00F00B7C" w:rsidRPr="00753338" w:rsidRDefault="00F00B7C" w:rsidP="00F00B7C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Anthropological Insights: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Ethnographic studies on the lived experiences of temporary urban dwellers, prominently Tom Ingold's "dwelling perspective".</w:t>
            </w:r>
          </w:p>
          <w:p w14:paraId="5D95479D" w14:textId="5A3F0216" w:rsidR="00F00B7C" w:rsidRPr="00753338" w:rsidRDefault="00F00B7C" w:rsidP="00F00B7C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Policy Review: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Evaluating climate adaptation policies from international agencies and institutions.</w:t>
            </w:r>
          </w:p>
          <w:p w14:paraId="79601455" w14:textId="77777777" w:rsidR="0056648E" w:rsidRPr="00753338" w:rsidRDefault="0056648E" w:rsidP="0056648E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Findings</w:t>
            </w:r>
          </w:p>
          <w:p w14:paraId="75F901D4" w14:textId="77777777" w:rsidR="0056648E" w:rsidRPr="00753338" w:rsidRDefault="0056648E" w:rsidP="0056648E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Regulatory Barriers &amp; Policy Adaptation</w:t>
            </w:r>
          </w:p>
          <w:p w14:paraId="6CC81314" w14:textId="77777777" w:rsidR="0056648E" w:rsidRPr="00753338" w:rsidRDefault="0056648E" w:rsidP="0056648E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Zoning &amp; Land Use: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Rigid classifications hinder tent-based urban resilience.</w:t>
            </w:r>
          </w:p>
          <w:p w14:paraId="5290EA37" w14:textId="77777777" w:rsidR="0056648E" w:rsidRPr="00753338" w:rsidRDefault="0056648E" w:rsidP="0056648E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Building Standards: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Adapting safety and sustainability regulations remains a challenge.</w:t>
            </w:r>
          </w:p>
          <w:p w14:paraId="1C7614E0" w14:textId="77777777" w:rsidR="0056648E" w:rsidRPr="00753338" w:rsidRDefault="0056648E" w:rsidP="0056648E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lastRenderedPageBreak/>
              <w:t>Governance Gaps: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Clearer municipal and state roles needed in disaster response and housing policies.</w:t>
            </w:r>
          </w:p>
          <w:p w14:paraId="790BA77E" w14:textId="77777777" w:rsidR="0056648E" w:rsidRPr="00753338" w:rsidRDefault="0056648E" w:rsidP="0056648E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Tent-Based Urbanism &amp; Sustainability</w:t>
            </w:r>
          </w:p>
          <w:p w14:paraId="4F258FF9" w14:textId="77777777" w:rsidR="0056648E" w:rsidRPr="00753338" w:rsidRDefault="0056648E" w:rsidP="0056648E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Climate-Responsive Housing: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Tents offer adaptive, low-carbon solutions.</w:t>
            </w:r>
          </w:p>
          <w:p w14:paraId="6F111F64" w14:textId="77777777" w:rsidR="0056648E" w:rsidRPr="00753338" w:rsidRDefault="0056648E" w:rsidP="0056648E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Community Efficiency: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Temporary settlements promote resource-sharing and low-impact living.</w:t>
            </w:r>
          </w:p>
          <w:p w14:paraId="7EEE3AA8" w14:textId="77777777" w:rsidR="0056648E" w:rsidRPr="00753338" w:rsidRDefault="0056648E" w:rsidP="0056648E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Reframing Impermanence: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Recognizing tents as long-term adaptation, not just crisis solutions.</w:t>
            </w:r>
          </w:p>
          <w:p w14:paraId="144D3EA3" w14:textId="77777777" w:rsidR="0056648E" w:rsidRPr="00753338" w:rsidRDefault="0056648E" w:rsidP="0056648E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Solution: Legally &amp; Economically Viable Model</w:t>
            </w:r>
          </w:p>
          <w:p w14:paraId="7268B393" w14:textId="77777777" w:rsidR="0056648E" w:rsidRPr="00753338" w:rsidRDefault="0056648E" w:rsidP="0056648E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Eco-Regulated Tent Zones (ERTZ):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Designated areas with flexible, enforceable codes.</w:t>
            </w:r>
          </w:p>
          <w:p w14:paraId="35BE0FBB" w14:textId="77777777" w:rsidR="0056648E" w:rsidRPr="00753338" w:rsidRDefault="0056648E" w:rsidP="0056648E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Public-Private Partnerships (PPPs):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Tax incentives and land leases for eco-friendly tent investments.</w:t>
            </w:r>
          </w:p>
          <w:p w14:paraId="576E4030" w14:textId="77777777" w:rsidR="0056648E" w:rsidRPr="00753338" w:rsidRDefault="0056648E" w:rsidP="0056648E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Circular Economy: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Use of biodegradable, modular, reusable materials.</w:t>
            </w:r>
          </w:p>
          <w:p w14:paraId="3BA167AD" w14:textId="77777777" w:rsidR="0056648E" w:rsidRPr="00753338" w:rsidRDefault="0056648E" w:rsidP="0056648E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Smart Governance: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Digital permits, AI-based safety compliance, real-time monitoring.</w:t>
            </w:r>
          </w:p>
          <w:p w14:paraId="3A132373" w14:textId="77777777" w:rsidR="0056648E" w:rsidRPr="00753338" w:rsidRDefault="0056648E" w:rsidP="0056648E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Urban Integration: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Positioning tents within climate adaptation and disaster resilience plans.</w:t>
            </w:r>
          </w:p>
          <w:p w14:paraId="7716B5C7" w14:textId="77777777" w:rsidR="0056648E" w:rsidRPr="00753338" w:rsidRDefault="0056648E" w:rsidP="0056648E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b/>
                <w:bCs/>
                <w:sz w:val="22"/>
                <w:szCs w:val="22"/>
              </w:rPr>
              <w:t>Significance for Policy &amp; Practice</w:t>
            </w:r>
          </w:p>
          <w:p w14:paraId="3D4886C2" w14:textId="77777777" w:rsidR="0056648E" w:rsidRPr="00753338" w:rsidRDefault="0056648E" w:rsidP="0056648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Urban Resilience: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Tent-based urbanism enhances climate adaptation with scalable, low-cost housing during crises.</w:t>
            </w:r>
          </w:p>
          <w:p w14:paraId="226696DF" w14:textId="77777777" w:rsidR="0056648E" w:rsidRPr="00753338" w:rsidRDefault="0056648E" w:rsidP="0056648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Regulatory Reform: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Flexible permitting ensures safety, sustainability, and prevents informal encroachments.</w:t>
            </w:r>
          </w:p>
          <w:p w14:paraId="54B6AD0C" w14:textId="77777777" w:rsidR="0056648E" w:rsidRPr="00753338" w:rsidRDefault="0056648E" w:rsidP="0056648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Investment Potential: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Attracts private funding via tax incentives and impact investment.</w:t>
            </w:r>
          </w:p>
          <w:p w14:paraId="7F197C7F" w14:textId="77777777" w:rsidR="0056648E" w:rsidRPr="00753338" w:rsidRDefault="0056648E" w:rsidP="0056648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Community-Led Development: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Participatory governance fosters ownership and inclusion.</w:t>
            </w:r>
          </w:p>
          <w:p w14:paraId="63C66CE2" w14:textId="37AA7F7C" w:rsidR="0056648E" w:rsidRPr="00753338" w:rsidRDefault="0056648E" w:rsidP="0056648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Style w:val="Strong"/>
                <w:rFonts w:ascii="Arial" w:hAnsi="Arial" w:cs="Arial"/>
                <w:sz w:val="22"/>
                <w:szCs w:val="22"/>
              </w:rPr>
              <w:t>Global Relevance:</w:t>
            </w:r>
            <w:r w:rsidRPr="00753338">
              <w:rPr>
                <w:rFonts w:ascii="Arial" w:hAnsi="Arial" w:cs="Arial"/>
                <w:sz w:val="22"/>
                <w:szCs w:val="22"/>
              </w:rPr>
              <w:t xml:space="preserve"> Adaptable across contexts, aligning with the Paris Agreement and UN-Habitat’s New Urban Agenda.</w:t>
            </w:r>
          </w:p>
          <w:p w14:paraId="2F359738" w14:textId="77777777" w:rsidR="00F00B7C" w:rsidRPr="00753338" w:rsidRDefault="00753338" w:rsidP="00F00B7C">
            <w:pPr>
              <w:rPr>
                <w:rFonts w:ascii="Arial" w:hAnsi="Arial" w:cs="Arial"/>
                <w:sz w:val="22"/>
                <w:szCs w:val="22"/>
              </w:rPr>
            </w:pPr>
            <w:r w:rsidRPr="00753338">
              <w:rPr>
                <w:rFonts w:ascii="Arial" w:eastAsiaTheme="minorEastAsia" w:hAnsi="Arial" w:cs="Arial"/>
                <w:noProof/>
                <w:sz w:val="22"/>
                <w:szCs w:val="22"/>
                <w:lang w:val="en-CA" w:eastAsia="zh-TW"/>
              </w:rPr>
              <w:pict w14:anchorId="7DA95EFD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CBAECD6" w14:textId="729DADBB" w:rsidR="009F4EA0" w:rsidRPr="00753338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Pr="00753338" w:rsidRDefault="00C8423A" w:rsidP="00375B20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p w14:paraId="15AC9FEF" w14:textId="15B67474" w:rsidR="009010B0" w:rsidRPr="00753338" w:rsidRDefault="009010B0" w:rsidP="00247C60">
      <w:pPr>
        <w:rPr>
          <w:rFonts w:ascii="Arial" w:hAnsi="Arial" w:cs="Arial"/>
          <w:sz w:val="22"/>
          <w:szCs w:val="22"/>
        </w:rPr>
      </w:pPr>
    </w:p>
    <w:sectPr w:rsidR="009010B0" w:rsidRPr="00753338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30767"/>
    <w:multiLevelType w:val="multilevel"/>
    <w:tmpl w:val="396E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93EB6"/>
    <w:multiLevelType w:val="multilevel"/>
    <w:tmpl w:val="2784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31F9A"/>
    <w:multiLevelType w:val="multilevel"/>
    <w:tmpl w:val="0182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5671BA"/>
    <w:multiLevelType w:val="multilevel"/>
    <w:tmpl w:val="58E2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B61B52"/>
    <w:multiLevelType w:val="multilevel"/>
    <w:tmpl w:val="9A0A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83567"/>
    <w:multiLevelType w:val="multilevel"/>
    <w:tmpl w:val="F00C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8"/>
  </w:num>
  <w:num w:numId="3" w16cid:durableId="1316374630">
    <w:abstractNumId w:val="1"/>
  </w:num>
  <w:num w:numId="4" w16cid:durableId="377240615">
    <w:abstractNumId w:val="3"/>
  </w:num>
  <w:num w:numId="5" w16cid:durableId="1218591298">
    <w:abstractNumId w:val="6"/>
  </w:num>
  <w:num w:numId="6" w16cid:durableId="1620868087">
    <w:abstractNumId w:val="5"/>
  </w:num>
  <w:num w:numId="7" w16cid:durableId="39014427">
    <w:abstractNumId w:val="4"/>
  </w:num>
  <w:num w:numId="8" w16cid:durableId="136537009">
    <w:abstractNumId w:val="7"/>
  </w:num>
  <w:num w:numId="9" w16cid:durableId="340789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105E39"/>
    <w:rsid w:val="00132AE5"/>
    <w:rsid w:val="00155315"/>
    <w:rsid w:val="00164E51"/>
    <w:rsid w:val="00247C60"/>
    <w:rsid w:val="00256963"/>
    <w:rsid w:val="00274291"/>
    <w:rsid w:val="002E3AA3"/>
    <w:rsid w:val="00317356"/>
    <w:rsid w:val="0034503D"/>
    <w:rsid w:val="00354C31"/>
    <w:rsid w:val="00375B20"/>
    <w:rsid w:val="00386D01"/>
    <w:rsid w:val="004049E7"/>
    <w:rsid w:val="00427684"/>
    <w:rsid w:val="00462B90"/>
    <w:rsid w:val="004828A0"/>
    <w:rsid w:val="004B69C7"/>
    <w:rsid w:val="004D193B"/>
    <w:rsid w:val="004F4CE8"/>
    <w:rsid w:val="004F5C81"/>
    <w:rsid w:val="0053222C"/>
    <w:rsid w:val="005469BD"/>
    <w:rsid w:val="00550B17"/>
    <w:rsid w:val="0056648E"/>
    <w:rsid w:val="005854B8"/>
    <w:rsid w:val="0065012F"/>
    <w:rsid w:val="0068043B"/>
    <w:rsid w:val="00681CA7"/>
    <w:rsid w:val="00753338"/>
    <w:rsid w:val="008235E8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B026E8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E53FE"/>
    <w:rsid w:val="00D716AD"/>
    <w:rsid w:val="00DB7929"/>
    <w:rsid w:val="00DD1BB3"/>
    <w:rsid w:val="00E612FF"/>
    <w:rsid w:val="00EB1B31"/>
    <w:rsid w:val="00F00B7C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64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0B7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 w:eastAsia="en-GB"/>
    </w:rPr>
  </w:style>
  <w:style w:type="character" w:styleId="Strong">
    <w:name w:val="Strong"/>
    <w:basedOn w:val="DefaultParagraphFont"/>
    <w:uiPriority w:val="22"/>
    <w:qFormat/>
    <w:rsid w:val="00F00B7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6648E"/>
    <w:rPr>
      <w:rFonts w:ascii="Times New Roman" w:eastAsia="Times New Roman" w:hAnsi="Times New Roman" w:cs="Times New Roman"/>
      <w:b/>
      <w:bCs/>
      <w:sz w:val="27"/>
      <w:szCs w:val="27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ADB307-85AF-4590-8C59-18BCB8C09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9c8a2b7b-0bee-4c48-b0a6-23db8982d3b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6911e96c-4cc4-42d5-8e43-f93924cf6a0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3</cp:revision>
  <dcterms:created xsi:type="dcterms:W3CDTF">2025-03-07T05:16:00Z</dcterms:created>
  <dcterms:modified xsi:type="dcterms:W3CDTF">2025-08-11T23:07:00Z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