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944D0E" w14:paraId="1DB93B84" w14:textId="77777777" w:rsidTr="00C22846">
        <w:tc>
          <w:tcPr>
            <w:tcW w:w="9640" w:type="dxa"/>
          </w:tcPr>
          <w:p w14:paraId="1FCD300E" w14:textId="3468DD2F" w:rsidR="00944D0E" w:rsidRPr="00944D0E" w:rsidRDefault="00944D0E" w:rsidP="008307A7">
            <w:pPr>
              <w:rPr>
                <w:rFonts w:ascii="Arial" w:hAnsi="Arial" w:cs="Arial"/>
                <w:b/>
                <w:bCs/>
              </w:rPr>
            </w:pPr>
            <w:r w:rsidRPr="00944D0E">
              <w:rPr>
                <w:rFonts w:ascii="Arial" w:hAnsi="Arial" w:cs="Arial"/>
                <w:b/>
                <w:bCs/>
              </w:rPr>
              <w:t xml:space="preserve">Prediction models underestimate lung cancer </w:t>
            </w:r>
            <w:r>
              <w:rPr>
                <w:rFonts w:ascii="Arial" w:hAnsi="Arial" w:cs="Arial"/>
                <w:b/>
                <w:bCs/>
              </w:rPr>
              <w:t xml:space="preserve">risk </w:t>
            </w:r>
            <w:r w:rsidRPr="00944D0E">
              <w:rPr>
                <w:rFonts w:ascii="Arial" w:hAnsi="Arial" w:cs="Arial"/>
                <w:b/>
                <w:bCs/>
              </w:rPr>
              <w:t>in asbestos exposed individuals</w:t>
            </w:r>
          </w:p>
        </w:tc>
      </w:tr>
      <w:tr w:rsidR="00944D0E" w14:paraId="65919F77" w14:textId="77777777" w:rsidTr="00C22846">
        <w:tc>
          <w:tcPr>
            <w:tcW w:w="9640" w:type="dxa"/>
          </w:tcPr>
          <w:p w14:paraId="662CF3CB" w14:textId="171F385E" w:rsidR="00944D0E" w:rsidRDefault="00944D0E" w:rsidP="008307A7">
            <w:pPr>
              <w:rPr>
                <w:rFonts w:ascii="Arial" w:hAnsi="Arial" w:cs="Arial"/>
              </w:rPr>
            </w:pPr>
            <w:r w:rsidRPr="61CE16CF">
              <w:rPr>
                <w:rFonts w:ascii="Arial" w:hAnsi="Arial" w:cs="Arial"/>
              </w:rPr>
              <w:t>Kirsten Bennett</w:t>
            </w:r>
            <w:r w:rsidRPr="61CE16CF">
              <w:rPr>
                <w:rFonts w:ascii="Arial" w:hAnsi="Arial" w:cs="Arial"/>
                <w:vertAlign w:val="superscript"/>
              </w:rPr>
              <w:t>1</w:t>
            </w:r>
            <w:r w:rsidR="00446075" w:rsidRPr="61CE16CF">
              <w:rPr>
                <w:rFonts w:ascii="Arial" w:hAnsi="Arial" w:cs="Arial"/>
                <w:vertAlign w:val="superscript"/>
              </w:rPr>
              <w:t>,2</w:t>
            </w:r>
            <w:r w:rsidRPr="61CE16CF">
              <w:rPr>
                <w:rFonts w:ascii="Arial" w:hAnsi="Arial" w:cs="Arial"/>
              </w:rPr>
              <w:t>, Chellan Kumarasamy</w:t>
            </w:r>
            <w:r w:rsidRPr="61CE16CF">
              <w:rPr>
                <w:rFonts w:ascii="Arial" w:hAnsi="Arial" w:cs="Arial"/>
                <w:vertAlign w:val="superscript"/>
              </w:rPr>
              <w:t>1</w:t>
            </w:r>
            <w:r w:rsidRPr="61CE16CF">
              <w:rPr>
                <w:rFonts w:ascii="Arial" w:hAnsi="Arial" w:cs="Arial"/>
              </w:rPr>
              <w:t xml:space="preserve">, </w:t>
            </w:r>
            <w:r w:rsidR="004E456B" w:rsidRPr="61CE16CF">
              <w:rPr>
                <w:rFonts w:ascii="Arial" w:hAnsi="Arial" w:cs="Arial"/>
              </w:rPr>
              <w:t>Kim Betts</w:t>
            </w:r>
            <w:r w:rsidR="7D887FFE" w:rsidRPr="61CE16CF">
              <w:rPr>
                <w:rFonts w:ascii="Arial" w:hAnsi="Arial" w:cs="Arial"/>
                <w:vertAlign w:val="superscript"/>
              </w:rPr>
              <w:t>3</w:t>
            </w:r>
            <w:r w:rsidR="058B0FCA" w:rsidRPr="61CE16CF">
              <w:rPr>
                <w:rFonts w:ascii="Arial" w:hAnsi="Arial" w:cs="Arial"/>
              </w:rPr>
              <w:t>,</w:t>
            </w:r>
            <w:r w:rsidR="00391B32" w:rsidRPr="61CE16CF">
              <w:rPr>
                <w:rFonts w:ascii="Arial" w:hAnsi="Arial" w:cs="Arial"/>
              </w:rPr>
              <w:t xml:space="preserve"> </w:t>
            </w:r>
            <w:r w:rsidRPr="61CE16CF">
              <w:rPr>
                <w:rFonts w:ascii="Arial" w:hAnsi="Arial" w:cs="Arial"/>
              </w:rPr>
              <w:t>Peter Franklin</w:t>
            </w:r>
            <w:r w:rsidR="2B9569CD" w:rsidRPr="61CE16CF">
              <w:rPr>
                <w:rFonts w:ascii="Arial" w:hAnsi="Arial" w:cs="Arial"/>
                <w:vertAlign w:val="superscript"/>
              </w:rPr>
              <w:t>4</w:t>
            </w:r>
            <w:r w:rsidRPr="61CE16CF">
              <w:rPr>
                <w:rFonts w:ascii="Arial" w:hAnsi="Arial" w:cs="Arial"/>
              </w:rPr>
              <w:t>, Nola Olsen</w:t>
            </w:r>
            <w:r w:rsidR="100F06DC" w:rsidRPr="61CE16CF">
              <w:rPr>
                <w:rFonts w:ascii="Arial" w:hAnsi="Arial" w:cs="Arial"/>
                <w:vertAlign w:val="superscript"/>
              </w:rPr>
              <w:t>4</w:t>
            </w:r>
            <w:r w:rsidRPr="61CE16CF">
              <w:rPr>
                <w:rFonts w:ascii="Arial" w:hAnsi="Arial" w:cs="Arial"/>
              </w:rPr>
              <w:t>, Nick de Klerk</w:t>
            </w:r>
            <w:r w:rsidR="15A82843" w:rsidRPr="61CE16CF">
              <w:rPr>
                <w:rFonts w:ascii="Arial" w:hAnsi="Arial" w:cs="Arial"/>
                <w:vertAlign w:val="superscript"/>
              </w:rPr>
              <w:t>4</w:t>
            </w:r>
            <w:r w:rsidRPr="61CE16CF">
              <w:rPr>
                <w:rFonts w:ascii="Arial" w:hAnsi="Arial" w:cs="Arial"/>
              </w:rPr>
              <w:t>, Fraser Brims</w:t>
            </w:r>
            <w:r w:rsidRPr="61CE16CF">
              <w:rPr>
                <w:rFonts w:ascii="Arial" w:hAnsi="Arial" w:cs="Arial"/>
                <w:vertAlign w:val="superscript"/>
              </w:rPr>
              <w:t>1</w:t>
            </w:r>
            <w:r w:rsidR="00446075" w:rsidRPr="61CE16CF">
              <w:rPr>
                <w:rFonts w:ascii="Arial" w:hAnsi="Arial" w:cs="Arial"/>
                <w:vertAlign w:val="superscript"/>
              </w:rPr>
              <w:t>,2,</w:t>
            </w:r>
            <w:r w:rsidR="00D02F20" w:rsidRPr="61CE16CF">
              <w:rPr>
                <w:rFonts w:ascii="Arial" w:hAnsi="Arial" w:cs="Arial"/>
                <w:vertAlign w:val="superscript"/>
              </w:rPr>
              <w:t>5</w:t>
            </w:r>
          </w:p>
        </w:tc>
      </w:tr>
      <w:tr w:rsidR="00944D0E" w14:paraId="6920E918" w14:textId="77777777" w:rsidTr="00C22846">
        <w:tc>
          <w:tcPr>
            <w:tcW w:w="9640" w:type="dxa"/>
          </w:tcPr>
          <w:p w14:paraId="52B55FF5" w14:textId="730E24CD" w:rsidR="00944D0E" w:rsidRDefault="00944D0E" w:rsidP="61CE16CF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61CE16CF">
              <w:rPr>
                <w:rFonts w:ascii="Arial" w:eastAsia="Arial" w:hAnsi="Arial" w:cs="Arial"/>
                <w:i/>
                <w:iCs/>
                <w:sz w:val="18"/>
                <w:szCs w:val="18"/>
                <w:vertAlign w:val="superscript"/>
              </w:rPr>
              <w:t>1</w:t>
            </w:r>
            <w:r w:rsidRPr="61CE16CF">
              <w:rPr>
                <w:rFonts w:ascii="Arial" w:eastAsia="Arial" w:hAnsi="Arial" w:cs="Arial"/>
                <w:i/>
                <w:iCs/>
                <w:sz w:val="18"/>
                <w:szCs w:val="18"/>
              </w:rPr>
              <w:t>Curtin Medical School, Curtin University, WA</w:t>
            </w:r>
            <w:r w:rsidR="008F70BE">
              <w:rPr>
                <w:rFonts w:ascii="Arial" w:eastAsia="Arial" w:hAnsi="Arial" w:cs="Arial"/>
                <w:i/>
                <w:iCs/>
                <w:sz w:val="18"/>
                <w:szCs w:val="18"/>
              </w:rPr>
              <w:t>, Australia</w:t>
            </w:r>
          </w:p>
          <w:p w14:paraId="49CCA421" w14:textId="69682E2D" w:rsidR="001D41A4" w:rsidRDefault="001D41A4" w:rsidP="61CE16CF">
            <w:pPr>
              <w:rPr>
                <w:rFonts w:ascii="Arial" w:eastAsia="Arial" w:hAnsi="Arial" w:cs="Arial"/>
                <w:i/>
                <w:iCs/>
                <w:sz w:val="18"/>
                <w:szCs w:val="18"/>
                <w:lang w:val="en-US" w:eastAsia="en-GB"/>
              </w:rPr>
            </w:pPr>
            <w:r w:rsidRPr="61CE16CF">
              <w:rPr>
                <w:rFonts w:ascii="Arial" w:eastAsia="Arial" w:hAnsi="Arial" w:cs="Arial"/>
                <w:i/>
                <w:iCs/>
                <w:sz w:val="18"/>
                <w:szCs w:val="18"/>
                <w:vertAlign w:val="superscript"/>
                <w:lang w:val="en-US" w:eastAsia="en-GB"/>
              </w:rPr>
              <w:t xml:space="preserve">2 </w:t>
            </w:r>
            <w:r w:rsidRPr="61CE16CF">
              <w:rPr>
                <w:rFonts w:ascii="Arial" w:eastAsia="Arial" w:hAnsi="Arial" w:cs="Arial"/>
                <w:i/>
                <w:iCs/>
                <w:sz w:val="18"/>
                <w:szCs w:val="18"/>
                <w:lang w:val="en-US" w:eastAsia="en-GB"/>
              </w:rPr>
              <w:t>Department of Respiratory Medicine, Sir Charles Gairdner Hospital</w:t>
            </w:r>
            <w:r w:rsidR="008F70BE">
              <w:rPr>
                <w:rFonts w:ascii="Arial" w:eastAsia="Arial" w:hAnsi="Arial" w:cs="Arial"/>
                <w:i/>
                <w:iCs/>
                <w:sz w:val="18"/>
                <w:szCs w:val="18"/>
                <w:lang w:val="en-US" w:eastAsia="en-GB"/>
              </w:rPr>
              <w:t>, WA, Australia</w:t>
            </w:r>
          </w:p>
          <w:p w14:paraId="66474841" w14:textId="199F40D5" w:rsidR="05907765" w:rsidRDefault="05907765" w:rsidP="61CE16CF">
            <w:pPr>
              <w:rPr>
                <w:rFonts w:ascii="Arial" w:eastAsia="Arial" w:hAnsi="Arial" w:cs="Arial"/>
                <w:i/>
                <w:iCs/>
                <w:sz w:val="18"/>
                <w:szCs w:val="18"/>
                <w:lang w:val="en-US" w:eastAsia="en-GB"/>
              </w:rPr>
            </w:pPr>
            <w:r w:rsidRPr="61CE16CF">
              <w:rPr>
                <w:rFonts w:ascii="Arial" w:eastAsia="Arial" w:hAnsi="Arial" w:cs="Arial"/>
                <w:i/>
                <w:iCs/>
                <w:sz w:val="18"/>
                <w:szCs w:val="18"/>
                <w:vertAlign w:val="superscript"/>
                <w:lang w:val="en-US" w:eastAsia="en-GB"/>
              </w:rPr>
              <w:t>3</w:t>
            </w:r>
            <w:r w:rsidRPr="61CE16CF">
              <w:rPr>
                <w:rFonts w:ascii="Arial" w:eastAsia="Arial" w:hAnsi="Arial" w:cs="Arial"/>
                <w:i/>
                <w:iCs/>
                <w:sz w:val="18"/>
                <w:szCs w:val="18"/>
                <w:lang w:val="en-US" w:eastAsia="en-GB"/>
              </w:rPr>
              <w:t>School of Population Health, Curtin University, WA</w:t>
            </w:r>
            <w:r w:rsidR="008F70BE">
              <w:rPr>
                <w:rFonts w:ascii="Arial" w:eastAsia="Arial" w:hAnsi="Arial" w:cs="Arial"/>
                <w:i/>
                <w:iCs/>
                <w:sz w:val="18"/>
                <w:szCs w:val="18"/>
                <w:lang w:val="en-US" w:eastAsia="en-GB"/>
              </w:rPr>
              <w:t>, Australia</w:t>
            </w:r>
          </w:p>
          <w:p w14:paraId="3EFC56AB" w14:textId="71F7536C" w:rsidR="00D02F20" w:rsidRDefault="05907765" w:rsidP="61CE16CF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61CE16CF">
              <w:rPr>
                <w:rFonts w:ascii="Arial" w:eastAsia="Arial" w:hAnsi="Arial" w:cs="Arial"/>
                <w:i/>
                <w:iCs/>
                <w:sz w:val="18"/>
                <w:szCs w:val="18"/>
                <w:vertAlign w:val="superscript"/>
              </w:rPr>
              <w:t>4</w:t>
            </w:r>
            <w:r w:rsidR="00944D0E" w:rsidRPr="61CE16CF">
              <w:rPr>
                <w:rFonts w:ascii="Arial" w:eastAsia="Arial" w:hAnsi="Arial" w:cs="Arial"/>
                <w:i/>
                <w:iCs/>
                <w:sz w:val="18"/>
                <w:szCs w:val="18"/>
              </w:rPr>
              <w:t>School of Global and Population Health, University of Western Australia, WA</w:t>
            </w:r>
            <w:r w:rsidR="008F70BE">
              <w:rPr>
                <w:rFonts w:ascii="Arial" w:eastAsia="Arial" w:hAnsi="Arial" w:cs="Arial"/>
                <w:i/>
                <w:iCs/>
                <w:sz w:val="18"/>
                <w:szCs w:val="18"/>
              </w:rPr>
              <w:t>, Australia</w:t>
            </w:r>
          </w:p>
          <w:p w14:paraId="1E9F8794" w14:textId="21FC226E" w:rsidR="00446075" w:rsidRPr="002A4CF8" w:rsidRDefault="17D8C63A" w:rsidP="61CE16CF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61CE16CF">
              <w:rPr>
                <w:rFonts w:ascii="Arial" w:eastAsia="Arial" w:hAnsi="Arial" w:cs="Arial"/>
                <w:i/>
                <w:iCs/>
                <w:sz w:val="18"/>
                <w:szCs w:val="18"/>
                <w:vertAlign w:val="superscript"/>
                <w:lang w:val="en-US" w:eastAsia="en-GB"/>
              </w:rPr>
              <w:t>5</w:t>
            </w:r>
            <w:r w:rsidR="00446075" w:rsidRPr="61CE16CF">
              <w:rPr>
                <w:rFonts w:ascii="Arial" w:eastAsia="Arial" w:hAnsi="Arial" w:cs="Arial"/>
                <w:i/>
                <w:iCs/>
                <w:sz w:val="18"/>
                <w:szCs w:val="18"/>
                <w:lang w:val="en-US" w:eastAsia="en-GB"/>
              </w:rPr>
              <w:t>Institute for Respiratory Health, Curtin University</w:t>
            </w:r>
            <w:r w:rsidR="008F70BE">
              <w:rPr>
                <w:rFonts w:ascii="Arial" w:eastAsia="Arial" w:hAnsi="Arial" w:cs="Arial"/>
                <w:i/>
                <w:iCs/>
                <w:sz w:val="18"/>
                <w:szCs w:val="18"/>
                <w:lang w:val="en-US" w:eastAsia="en-GB"/>
              </w:rPr>
              <w:t>, WA, Australia</w:t>
            </w:r>
            <w:r w:rsidR="00446075" w:rsidRPr="61CE16CF">
              <w:rPr>
                <w:rFonts w:ascii="Arial" w:eastAsia="Arial" w:hAnsi="Arial" w:cs="Arial"/>
                <w:i/>
                <w:iCs/>
                <w:sz w:val="18"/>
                <w:szCs w:val="18"/>
                <w:lang w:val="en-US" w:eastAsia="en-GB"/>
              </w:rPr>
              <w:t xml:space="preserve">  </w:t>
            </w:r>
          </w:p>
        </w:tc>
      </w:tr>
      <w:tr w:rsidR="00944D0E" w14:paraId="0FCC7026" w14:textId="77777777" w:rsidTr="00D92FEB">
        <w:trPr>
          <w:trHeight w:val="11908"/>
        </w:trPr>
        <w:tc>
          <w:tcPr>
            <w:tcW w:w="9640" w:type="dxa"/>
          </w:tcPr>
          <w:p w14:paraId="14B3A9C5" w14:textId="30F14B49" w:rsidR="00944D0E" w:rsidRPr="00C77551" w:rsidRDefault="00944D0E" w:rsidP="00DA4E84">
            <w:pPr>
              <w:rPr>
                <w:rFonts w:ascii="Arial" w:hAnsi="Arial" w:cs="Arial"/>
              </w:rPr>
            </w:pPr>
            <w:bookmarkStart w:id="0" w:name="_Hlk148524468"/>
            <w:r w:rsidRPr="61CE16CF">
              <w:rPr>
                <w:rFonts w:ascii="Arial" w:hAnsi="Arial" w:cs="Arial"/>
                <w:b/>
                <w:bCs/>
              </w:rPr>
              <w:t>Introduction</w:t>
            </w:r>
            <w:r w:rsidRPr="61CE16CF">
              <w:rPr>
                <w:rFonts w:ascii="Arial" w:hAnsi="Arial" w:cs="Arial"/>
              </w:rPr>
              <w:t xml:space="preserve">: </w:t>
            </w:r>
            <w:r w:rsidR="00DB27E0" w:rsidRPr="61CE16CF">
              <w:rPr>
                <w:rFonts w:ascii="Arial" w:hAnsi="Arial" w:cs="Arial"/>
              </w:rPr>
              <w:t xml:space="preserve">Lung cancer screening is only effective when targeting high risk populations. </w:t>
            </w:r>
            <w:r w:rsidRPr="61CE16CF">
              <w:rPr>
                <w:rFonts w:ascii="Arial" w:hAnsi="Arial" w:cs="Arial"/>
              </w:rPr>
              <w:t>Australia</w:t>
            </w:r>
            <w:r w:rsidR="00496935" w:rsidRPr="61CE16CF">
              <w:rPr>
                <w:rFonts w:ascii="Arial" w:hAnsi="Arial" w:cs="Arial"/>
              </w:rPr>
              <w:t xml:space="preserve"> </w:t>
            </w:r>
            <w:r w:rsidRPr="61CE16CF">
              <w:rPr>
                <w:rFonts w:ascii="Arial" w:hAnsi="Arial" w:cs="Arial"/>
              </w:rPr>
              <w:t xml:space="preserve">will commence nationwide lung cancer screening </w:t>
            </w:r>
            <w:r w:rsidR="00DB27E0" w:rsidRPr="61CE16CF">
              <w:rPr>
                <w:rFonts w:ascii="Arial" w:hAnsi="Arial" w:cs="Arial"/>
              </w:rPr>
              <w:t xml:space="preserve">in </w:t>
            </w:r>
            <w:r w:rsidRPr="61CE16CF">
              <w:rPr>
                <w:rFonts w:ascii="Arial" w:hAnsi="Arial" w:cs="Arial"/>
              </w:rPr>
              <w:t xml:space="preserve">July 2025. Occupational </w:t>
            </w:r>
            <w:r w:rsidR="00D73A01" w:rsidRPr="61CE16CF">
              <w:rPr>
                <w:rFonts w:ascii="Arial" w:hAnsi="Arial" w:cs="Arial"/>
              </w:rPr>
              <w:t xml:space="preserve">(particularly asbestos) </w:t>
            </w:r>
            <w:r w:rsidRPr="61CE16CF">
              <w:rPr>
                <w:rFonts w:ascii="Arial" w:hAnsi="Arial" w:cs="Arial"/>
              </w:rPr>
              <w:t xml:space="preserve">exposures increase the risk of lung </w:t>
            </w:r>
            <w:r w:rsidR="003C7B7C" w:rsidRPr="61CE16CF">
              <w:rPr>
                <w:rFonts w:ascii="Arial" w:hAnsi="Arial" w:cs="Arial"/>
              </w:rPr>
              <w:t>cancer but</w:t>
            </w:r>
            <w:r w:rsidRPr="61CE16CF">
              <w:rPr>
                <w:rFonts w:ascii="Arial" w:hAnsi="Arial" w:cs="Arial"/>
              </w:rPr>
              <w:t xml:space="preserve"> are not included in current screening</w:t>
            </w:r>
            <w:r w:rsidR="003C7B7C" w:rsidRPr="61CE16CF">
              <w:rPr>
                <w:rFonts w:ascii="Arial" w:hAnsi="Arial" w:cs="Arial"/>
              </w:rPr>
              <w:t xml:space="preserve"> eligibility</w:t>
            </w:r>
            <w:r w:rsidRPr="61CE16CF">
              <w:rPr>
                <w:rFonts w:ascii="Arial" w:hAnsi="Arial" w:cs="Arial"/>
              </w:rPr>
              <w:t xml:space="preserve"> criteria. This study aims to assess the performance of existing lung cancer screening criteria and risk prediction models in an asbestos exposed population.</w:t>
            </w:r>
          </w:p>
          <w:p w14:paraId="4B849D84" w14:textId="20B8181A" w:rsidR="00944D0E" w:rsidRPr="00C77551" w:rsidRDefault="00944D0E" w:rsidP="00907CEC">
            <w:pPr>
              <w:rPr>
                <w:rFonts w:ascii="Arial" w:hAnsi="Arial" w:cs="Arial"/>
              </w:rPr>
            </w:pPr>
            <w:r w:rsidRPr="61CE16CF">
              <w:rPr>
                <w:rFonts w:ascii="Arial" w:hAnsi="Arial" w:cs="Arial"/>
                <w:b/>
                <w:bCs/>
              </w:rPr>
              <w:t>Method</w:t>
            </w:r>
            <w:r w:rsidRPr="61CE16CF">
              <w:rPr>
                <w:rFonts w:ascii="Arial" w:hAnsi="Arial" w:cs="Arial"/>
              </w:rPr>
              <w:t>: The West</w:t>
            </w:r>
            <w:r w:rsidR="00907CEC">
              <w:rPr>
                <w:rFonts w:ascii="Arial" w:hAnsi="Arial" w:cs="Arial"/>
              </w:rPr>
              <w:t>ern</w:t>
            </w:r>
            <w:r w:rsidRPr="61CE16CF">
              <w:rPr>
                <w:rFonts w:ascii="Arial" w:hAnsi="Arial" w:cs="Arial"/>
              </w:rPr>
              <w:t xml:space="preserve"> Australian Asbestos Review Program has </w:t>
            </w:r>
            <w:r w:rsidR="00907CEC">
              <w:rPr>
                <w:rFonts w:ascii="Arial" w:hAnsi="Arial" w:cs="Arial"/>
              </w:rPr>
              <w:t>used CT imaging for</w:t>
            </w:r>
            <w:r w:rsidRPr="61CE16CF">
              <w:rPr>
                <w:rFonts w:ascii="Arial" w:hAnsi="Arial" w:cs="Arial"/>
              </w:rPr>
              <w:t xml:space="preserve"> lung cancer screening for the last 11 years. Inclusion requires minimum 3 months asbestos exposure, regardless of smoking status. The performance of 5 </w:t>
            </w:r>
            <w:r w:rsidR="00C22846">
              <w:rPr>
                <w:rFonts w:ascii="Arial" w:hAnsi="Arial" w:cs="Arial"/>
              </w:rPr>
              <w:t xml:space="preserve">cancer </w:t>
            </w:r>
            <w:r w:rsidRPr="61CE16CF">
              <w:rPr>
                <w:rFonts w:ascii="Arial" w:hAnsi="Arial" w:cs="Arial"/>
              </w:rPr>
              <w:t>risk prediction models (PLCO</w:t>
            </w:r>
            <w:r w:rsidRPr="002A4CF8">
              <w:rPr>
                <w:rFonts w:ascii="Arial" w:hAnsi="Arial" w:cs="Arial"/>
                <w:vertAlign w:val="subscript"/>
              </w:rPr>
              <w:t>m2012</w:t>
            </w:r>
            <w:r w:rsidRPr="61CE16CF">
              <w:rPr>
                <w:rFonts w:ascii="Arial" w:hAnsi="Arial" w:cs="Arial"/>
              </w:rPr>
              <w:t xml:space="preserve">, </w:t>
            </w:r>
            <w:proofErr w:type="spellStart"/>
            <w:r w:rsidRPr="61CE16CF">
              <w:rPr>
                <w:rFonts w:ascii="Arial" w:hAnsi="Arial" w:cs="Arial"/>
              </w:rPr>
              <w:t>PLCO</w:t>
            </w:r>
            <w:r w:rsidRPr="002A4CF8">
              <w:rPr>
                <w:rFonts w:ascii="Arial" w:hAnsi="Arial" w:cs="Arial"/>
                <w:vertAlign w:val="subscript"/>
              </w:rPr>
              <w:t>asb</w:t>
            </w:r>
            <w:proofErr w:type="spellEnd"/>
            <w:r w:rsidRPr="61CE16CF">
              <w:rPr>
                <w:rFonts w:ascii="Arial" w:hAnsi="Arial" w:cs="Arial"/>
              </w:rPr>
              <w:t>, PLCO</w:t>
            </w:r>
            <w:r w:rsidRPr="002A4CF8">
              <w:rPr>
                <w:rFonts w:ascii="Arial" w:hAnsi="Arial" w:cs="Arial"/>
                <w:vertAlign w:val="subscript"/>
              </w:rPr>
              <w:t>m201</w:t>
            </w:r>
            <w:r w:rsidR="002E0AC6" w:rsidRPr="002A4CF8">
              <w:rPr>
                <w:rFonts w:ascii="Arial" w:hAnsi="Arial" w:cs="Arial"/>
                <w:vertAlign w:val="subscript"/>
              </w:rPr>
              <w:t>4</w:t>
            </w:r>
            <w:r w:rsidRPr="61CE16CF">
              <w:rPr>
                <w:rFonts w:ascii="Arial" w:hAnsi="Arial" w:cs="Arial"/>
              </w:rPr>
              <w:t>, LLP</w:t>
            </w:r>
            <w:r w:rsidRPr="002A4CF8">
              <w:rPr>
                <w:rFonts w:ascii="Arial" w:hAnsi="Arial" w:cs="Arial"/>
                <w:vertAlign w:val="subscript"/>
              </w:rPr>
              <w:t>v2</w:t>
            </w:r>
            <w:r w:rsidRPr="61CE16CF">
              <w:rPr>
                <w:rFonts w:ascii="Arial" w:hAnsi="Arial" w:cs="Arial"/>
              </w:rPr>
              <w:t xml:space="preserve"> and Bach) and </w:t>
            </w:r>
            <w:r w:rsidR="00907CEC">
              <w:rPr>
                <w:rFonts w:ascii="Arial" w:hAnsi="Arial" w:cs="Arial"/>
              </w:rPr>
              <w:t>2</w:t>
            </w:r>
            <w:r w:rsidRPr="61CE16CF">
              <w:rPr>
                <w:rFonts w:ascii="Arial" w:hAnsi="Arial" w:cs="Arial"/>
              </w:rPr>
              <w:t xml:space="preserve"> screening criteria </w:t>
            </w:r>
            <w:r w:rsidRPr="00907CEC">
              <w:rPr>
                <w:rFonts w:ascii="Arial" w:hAnsi="Arial" w:cs="Arial"/>
              </w:rPr>
              <w:t>(</w:t>
            </w:r>
            <w:r w:rsidR="00907CEC" w:rsidRPr="00907CEC">
              <w:rPr>
                <w:rFonts w:ascii="Arial" w:hAnsi="Arial" w:cs="Arial"/>
              </w:rPr>
              <w:t>Medical Services Advisory Committee,</w:t>
            </w:r>
            <w:r w:rsidR="00907CEC">
              <w:rPr>
                <w:rFonts w:ascii="Arial" w:hAnsi="Arial" w:cs="Arial"/>
              </w:rPr>
              <w:t xml:space="preserve"> </w:t>
            </w:r>
            <w:r w:rsidRPr="00907CEC">
              <w:rPr>
                <w:rFonts w:ascii="Arial" w:hAnsi="Arial" w:cs="Arial"/>
              </w:rPr>
              <w:t xml:space="preserve">MSAC and </w:t>
            </w:r>
            <w:r w:rsidR="00907CEC" w:rsidRPr="00907CEC">
              <w:rPr>
                <w:rFonts w:ascii="Arial" w:hAnsi="Arial" w:cs="Arial"/>
              </w:rPr>
              <w:t xml:space="preserve">US Preventative Services Task Force, </w:t>
            </w:r>
            <w:r w:rsidRPr="00907CEC">
              <w:rPr>
                <w:rFonts w:ascii="Arial" w:hAnsi="Arial" w:cs="Arial"/>
              </w:rPr>
              <w:t>USPSTF2021)</w:t>
            </w:r>
            <w:r w:rsidRPr="61CE16CF">
              <w:rPr>
                <w:rFonts w:ascii="Arial" w:hAnsi="Arial" w:cs="Arial"/>
              </w:rPr>
              <w:t xml:space="preserve"> was assessed </w:t>
            </w:r>
            <w:r w:rsidR="00907CEC">
              <w:rPr>
                <w:rFonts w:ascii="Arial" w:hAnsi="Arial" w:cs="Arial"/>
              </w:rPr>
              <w:t>in</w:t>
            </w:r>
            <w:r w:rsidR="008A2276" w:rsidRPr="61CE16CF">
              <w:rPr>
                <w:rFonts w:ascii="Arial" w:hAnsi="Arial" w:cs="Arial"/>
              </w:rPr>
              <w:t xml:space="preserve"> </w:t>
            </w:r>
            <w:r w:rsidRPr="61CE16CF">
              <w:rPr>
                <w:rFonts w:ascii="Arial" w:hAnsi="Arial" w:cs="Arial"/>
              </w:rPr>
              <w:t xml:space="preserve">this cohort. Calibration was conducted via </w:t>
            </w:r>
            <w:r w:rsidR="00C22846">
              <w:rPr>
                <w:rFonts w:ascii="Arial" w:hAnsi="Arial" w:cs="Arial"/>
              </w:rPr>
              <w:t>2</w:t>
            </w:r>
            <w:r w:rsidRPr="61CE16CF">
              <w:rPr>
                <w:rFonts w:ascii="Arial" w:hAnsi="Arial" w:cs="Arial"/>
              </w:rPr>
              <w:t xml:space="preserve"> methods – calibration at large, and Mean Adjusted Deaths Compared Against Predictions (MADCAP) plots.</w:t>
            </w:r>
          </w:p>
          <w:p w14:paraId="399BBE93" w14:textId="70E0209E" w:rsidR="00944D0E" w:rsidRPr="00C77551" w:rsidRDefault="00944D0E" w:rsidP="00DA4E84">
            <w:pPr>
              <w:rPr>
                <w:rFonts w:ascii="Arial" w:hAnsi="Arial" w:cs="Arial"/>
              </w:rPr>
            </w:pPr>
            <w:r w:rsidRPr="61CE16CF">
              <w:rPr>
                <w:rFonts w:ascii="Arial" w:hAnsi="Arial" w:cs="Arial"/>
                <w:b/>
                <w:bCs/>
              </w:rPr>
              <w:t>Results</w:t>
            </w:r>
            <w:r w:rsidRPr="61CE16CF">
              <w:rPr>
                <w:rFonts w:ascii="Arial" w:hAnsi="Arial" w:cs="Arial"/>
              </w:rPr>
              <w:t>: 2</w:t>
            </w:r>
            <w:r w:rsidR="00F95D2D" w:rsidRPr="61CE16CF">
              <w:rPr>
                <w:rFonts w:ascii="Arial" w:hAnsi="Arial" w:cs="Arial"/>
              </w:rPr>
              <w:t>,</w:t>
            </w:r>
            <w:r w:rsidRPr="61CE16CF">
              <w:rPr>
                <w:rFonts w:ascii="Arial" w:hAnsi="Arial" w:cs="Arial"/>
              </w:rPr>
              <w:t>126 participants were included. 85.4% were male with a median age of 70 and median asbestos exposure 0.2 fibres/m</w:t>
            </w:r>
            <w:r w:rsidR="00A9139E" w:rsidRPr="61CE16CF">
              <w:rPr>
                <w:rFonts w:ascii="Arial" w:hAnsi="Arial" w:cs="Arial"/>
              </w:rPr>
              <w:t>l-year</w:t>
            </w:r>
            <w:r w:rsidRPr="61CE16CF">
              <w:rPr>
                <w:rFonts w:ascii="Arial" w:hAnsi="Arial" w:cs="Arial"/>
              </w:rPr>
              <w:t xml:space="preserve"> (IQR 0.005-0.864). 36.2% of the cohort were never smokers, and 8.7% were current smokers. </w:t>
            </w:r>
            <w:r w:rsidR="2494358A" w:rsidRPr="61CE16CF">
              <w:rPr>
                <w:rFonts w:ascii="Arial" w:hAnsi="Arial" w:cs="Arial"/>
              </w:rPr>
              <w:t>2.4% of participants developed</w:t>
            </w:r>
            <w:r w:rsidRPr="61CE16CF">
              <w:rPr>
                <w:rFonts w:ascii="Arial" w:hAnsi="Arial" w:cs="Arial"/>
              </w:rPr>
              <w:t xml:space="preserve"> lung cancer during the screening period, with 9</w:t>
            </w:r>
            <w:r w:rsidR="002504E3" w:rsidRPr="61CE16CF">
              <w:rPr>
                <w:rFonts w:ascii="Arial" w:hAnsi="Arial" w:cs="Arial"/>
              </w:rPr>
              <w:t>/51</w:t>
            </w:r>
            <w:r w:rsidRPr="61CE16CF">
              <w:rPr>
                <w:rFonts w:ascii="Arial" w:hAnsi="Arial" w:cs="Arial"/>
              </w:rPr>
              <w:t>(18%) cancers occurring in never smokers. The area under the receiver operating curve was highest for LLP</w:t>
            </w:r>
            <w:r w:rsidRPr="61CE16CF">
              <w:rPr>
                <w:rFonts w:ascii="Arial" w:hAnsi="Arial" w:cs="Arial"/>
                <w:vertAlign w:val="subscript"/>
              </w:rPr>
              <w:t>v2</w:t>
            </w:r>
            <w:r w:rsidRPr="61CE16CF">
              <w:rPr>
                <w:rFonts w:ascii="Arial" w:hAnsi="Arial" w:cs="Arial"/>
              </w:rPr>
              <w:t xml:space="preserve"> (0.675), followed by Bach (0.669), PLCO</w:t>
            </w:r>
            <w:r w:rsidRPr="61CE16CF">
              <w:rPr>
                <w:rFonts w:ascii="Arial" w:hAnsi="Arial" w:cs="Arial"/>
                <w:vertAlign w:val="subscript"/>
              </w:rPr>
              <w:t>m2014</w:t>
            </w:r>
            <w:r w:rsidRPr="61CE16CF">
              <w:rPr>
                <w:rFonts w:ascii="Arial" w:hAnsi="Arial" w:cs="Arial"/>
              </w:rPr>
              <w:t xml:space="preserve"> (0.623) and PLCO</w:t>
            </w:r>
            <w:r w:rsidRPr="61CE16CF">
              <w:rPr>
                <w:rFonts w:ascii="Arial" w:hAnsi="Arial" w:cs="Arial"/>
                <w:vertAlign w:val="subscript"/>
              </w:rPr>
              <w:t>m2012</w:t>
            </w:r>
            <w:r w:rsidRPr="61CE16CF">
              <w:rPr>
                <w:rFonts w:ascii="Arial" w:hAnsi="Arial" w:cs="Arial"/>
              </w:rPr>
              <w:t xml:space="preserve"> </w:t>
            </w:r>
            <w:r w:rsidR="42120FEE" w:rsidRPr="61CE16CF">
              <w:rPr>
                <w:rFonts w:ascii="Arial" w:hAnsi="Arial" w:cs="Arial"/>
              </w:rPr>
              <w:t>/</w:t>
            </w:r>
            <w:proofErr w:type="spellStart"/>
            <w:proofErr w:type="gramStart"/>
            <w:r w:rsidR="42120FEE" w:rsidRPr="61CE16CF">
              <w:rPr>
                <w:rFonts w:ascii="Arial" w:hAnsi="Arial" w:cs="Arial"/>
              </w:rPr>
              <w:t>PLCO</w:t>
            </w:r>
            <w:r w:rsidR="42120FEE" w:rsidRPr="61CE16CF">
              <w:rPr>
                <w:rFonts w:ascii="Arial" w:hAnsi="Arial" w:cs="Arial"/>
                <w:vertAlign w:val="subscript"/>
              </w:rPr>
              <w:t>asb</w:t>
            </w:r>
            <w:proofErr w:type="spellEnd"/>
            <w:r w:rsidRPr="61CE16CF">
              <w:rPr>
                <w:rFonts w:ascii="Arial" w:hAnsi="Arial" w:cs="Arial"/>
              </w:rPr>
              <w:t>(</w:t>
            </w:r>
            <w:proofErr w:type="gramEnd"/>
            <w:r w:rsidRPr="61CE16CF">
              <w:rPr>
                <w:rFonts w:ascii="Arial" w:hAnsi="Arial" w:cs="Arial"/>
              </w:rPr>
              <w:t xml:space="preserve">0.602).  Both USPSTF2021 and MSAC had poor sensitivity at 0.21 (0.10-0.37) and 0.07 (0.01-0.19) respectively.  </w:t>
            </w:r>
            <w:r w:rsidR="08EBD128" w:rsidRPr="61CE16CF">
              <w:rPr>
                <w:rFonts w:ascii="Arial" w:hAnsi="Arial" w:cs="Arial"/>
              </w:rPr>
              <w:t xml:space="preserve">All risk prediction models underestimated risk using calibration at large and MADCAP plots, </w:t>
            </w:r>
            <w:r w:rsidR="3DB12A17" w:rsidRPr="61CE16CF">
              <w:rPr>
                <w:rFonts w:ascii="Arial" w:hAnsi="Arial" w:cs="Arial"/>
              </w:rPr>
              <w:t>except for</w:t>
            </w:r>
            <w:r w:rsidR="08EBD128" w:rsidRPr="61CE16CF">
              <w:rPr>
                <w:rFonts w:ascii="Arial" w:hAnsi="Arial" w:cs="Arial"/>
              </w:rPr>
              <w:t xml:space="preserve"> the LLP</w:t>
            </w:r>
            <w:r w:rsidR="08EBD128" w:rsidRPr="61CE16CF">
              <w:rPr>
                <w:rFonts w:ascii="Arial" w:hAnsi="Arial" w:cs="Arial"/>
                <w:vertAlign w:val="subscript"/>
              </w:rPr>
              <w:t>v2</w:t>
            </w:r>
            <w:r w:rsidR="08EBD128" w:rsidRPr="61CE16CF">
              <w:rPr>
                <w:rFonts w:ascii="Arial" w:hAnsi="Arial" w:cs="Arial"/>
              </w:rPr>
              <w:t xml:space="preserve"> model which </w:t>
            </w:r>
            <w:r w:rsidR="4F5B8524" w:rsidRPr="61CE16CF">
              <w:rPr>
                <w:rFonts w:ascii="Arial" w:hAnsi="Arial" w:cs="Arial"/>
              </w:rPr>
              <w:t>overestimates risk using both methods</w:t>
            </w:r>
            <w:r w:rsidRPr="61CE16CF">
              <w:rPr>
                <w:rFonts w:ascii="Arial" w:hAnsi="Arial" w:cs="Arial"/>
              </w:rPr>
              <w:t xml:space="preserve"> (figure 1). </w:t>
            </w:r>
          </w:p>
          <w:p w14:paraId="2E9B1DA1" w14:textId="27C362AC" w:rsidR="00D92FEB" w:rsidRPr="00D92FEB" w:rsidRDefault="002A4CF8" w:rsidP="00D92FEB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38A8169" wp14:editId="13AA513B">
                  <wp:extent cx="5549900" cy="3650881"/>
                  <wp:effectExtent l="0" t="0" r="0" b="6985"/>
                  <wp:docPr id="19192342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47" t="8044" r="5606" b="6419"/>
                          <a:stretch/>
                        </pic:blipFill>
                        <pic:spPr bwMode="auto">
                          <a:xfrm>
                            <a:off x="0" y="0"/>
                            <a:ext cx="5559742" cy="365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44D0E" w:rsidRPr="00B02983">
              <w:rPr>
                <w:rFonts w:ascii="Arial" w:hAnsi="Arial" w:cs="Arial"/>
                <w:b/>
                <w:bCs/>
              </w:rPr>
              <w:t>Conclusion</w:t>
            </w:r>
            <w:r w:rsidR="00944D0E" w:rsidRPr="00C77551">
              <w:rPr>
                <w:rFonts w:ascii="Arial" w:hAnsi="Arial" w:cs="Arial"/>
              </w:rPr>
              <w:t xml:space="preserve">: </w:t>
            </w:r>
            <w:r w:rsidR="001D0598">
              <w:rPr>
                <w:rFonts w:ascii="Arial" w:hAnsi="Arial" w:cs="Arial"/>
              </w:rPr>
              <w:t>C</w:t>
            </w:r>
            <w:r w:rsidR="00944D0E" w:rsidRPr="00C77551">
              <w:rPr>
                <w:rFonts w:ascii="Arial" w:hAnsi="Arial" w:cs="Arial"/>
              </w:rPr>
              <w:t xml:space="preserve">urrent risk prediction models and screening criteria perform poorly in this </w:t>
            </w:r>
            <w:proofErr w:type="gramStart"/>
            <w:r w:rsidR="00C070FC" w:rsidRPr="61CE16CF">
              <w:rPr>
                <w:rFonts w:ascii="Arial" w:hAnsi="Arial" w:cs="Arial"/>
              </w:rPr>
              <w:t>high risk</w:t>
            </w:r>
            <w:proofErr w:type="gramEnd"/>
            <w:r w:rsidR="00C070FC">
              <w:rPr>
                <w:rFonts w:ascii="Arial" w:hAnsi="Arial" w:cs="Arial"/>
              </w:rPr>
              <w:t xml:space="preserve"> </w:t>
            </w:r>
            <w:r w:rsidR="00944D0E" w:rsidRPr="00C77551">
              <w:rPr>
                <w:rFonts w:ascii="Arial" w:hAnsi="Arial" w:cs="Arial"/>
              </w:rPr>
              <w:t>cohort.</w:t>
            </w:r>
            <w:r w:rsidR="001D0598">
              <w:rPr>
                <w:rFonts w:ascii="Arial" w:hAnsi="Arial" w:cs="Arial"/>
              </w:rPr>
              <w:t xml:space="preserve"> Future models need to account for the relative excess risk by interaction </w:t>
            </w:r>
            <w:r w:rsidR="00577FC9">
              <w:rPr>
                <w:rFonts w:ascii="Arial" w:hAnsi="Arial" w:cs="Arial"/>
              </w:rPr>
              <w:t>of tobacco and asbestos exposure.</w:t>
            </w:r>
          </w:p>
        </w:tc>
      </w:tr>
      <w:tr w:rsidR="00D92FEB" w14:paraId="68F11944" w14:textId="77777777" w:rsidTr="00D92FEB">
        <w:trPr>
          <w:trHeight w:val="70"/>
        </w:trPr>
        <w:tc>
          <w:tcPr>
            <w:tcW w:w="9640" w:type="dxa"/>
          </w:tcPr>
          <w:p w14:paraId="046341B7" w14:textId="02A482AC" w:rsidR="00D92FEB" w:rsidRDefault="00D92FEB" w:rsidP="00D92FEB">
            <w:pPr>
              <w:rPr>
                <w:rFonts w:ascii="Arial" w:hAnsi="Arial" w:cs="Arial"/>
              </w:rPr>
            </w:pPr>
            <w:r w:rsidRPr="00DA4E84">
              <w:rPr>
                <w:rFonts w:ascii="Arial" w:hAnsi="Arial" w:cs="Arial"/>
                <w:b/>
                <w:bCs/>
              </w:rPr>
              <w:t>Gr</w:t>
            </w:r>
            <w:r w:rsidRPr="61CE16CF">
              <w:rPr>
                <w:rFonts w:ascii="Arial" w:hAnsi="Arial" w:cs="Arial"/>
                <w:b/>
                <w:bCs/>
              </w:rPr>
              <w:t>ant support</w:t>
            </w:r>
            <w:r w:rsidRPr="61CE16CF">
              <w:rPr>
                <w:rFonts w:ascii="Arial" w:hAnsi="Arial" w:cs="Arial"/>
              </w:rPr>
              <w:t xml:space="preserve">: Research Training Program Scholarship, Charlies Foundation, NHMRC. </w:t>
            </w:r>
          </w:p>
          <w:p w14:paraId="478F8BC0" w14:textId="6EDCAE31" w:rsidR="00D92FEB" w:rsidRPr="61CE16CF" w:rsidRDefault="00D92FEB" w:rsidP="00D92FEB">
            <w:pPr>
              <w:rPr>
                <w:rFonts w:ascii="Arial" w:hAnsi="Arial" w:cs="Arial"/>
                <w:b/>
                <w:bCs/>
              </w:rPr>
            </w:pPr>
            <w:r w:rsidRPr="008307A7">
              <w:rPr>
                <w:rFonts w:ascii="Arial" w:hAnsi="Arial" w:cs="Arial"/>
                <w:b/>
                <w:bCs/>
              </w:rPr>
              <w:t>Key words</w:t>
            </w:r>
            <w:r>
              <w:rPr>
                <w:rFonts w:ascii="Arial" w:hAnsi="Arial" w:cs="Arial"/>
              </w:rPr>
              <w:t>: risk prediction, lung cancer, screening, asbestos</w:t>
            </w:r>
          </w:p>
        </w:tc>
      </w:tr>
      <w:bookmarkEnd w:id="0"/>
    </w:tbl>
    <w:p w14:paraId="25DB2B60" w14:textId="77777777" w:rsidR="00944D0E" w:rsidRDefault="00944D0E" w:rsidP="00DA4E84">
      <w:pPr>
        <w:spacing w:line="240" w:lineRule="auto"/>
        <w:rPr>
          <w:rFonts w:ascii="Arial" w:hAnsi="Arial" w:cs="Arial"/>
        </w:rPr>
      </w:pPr>
    </w:p>
    <w:sectPr w:rsidR="00944D0E" w:rsidSect="00D92FEB">
      <w:pgSz w:w="11906" w:h="16838"/>
      <w:pgMar w:top="127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24E16"/>
    <w:multiLevelType w:val="hybridMultilevel"/>
    <w:tmpl w:val="9EEAEA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55798"/>
    <w:multiLevelType w:val="hybridMultilevel"/>
    <w:tmpl w:val="D286FAC2"/>
    <w:lvl w:ilvl="0" w:tplc="718A4E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193660">
    <w:abstractNumId w:val="0"/>
  </w:num>
  <w:num w:numId="2" w16cid:durableId="742680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74"/>
    <w:rsid w:val="00027E36"/>
    <w:rsid w:val="0011705C"/>
    <w:rsid w:val="00153EAB"/>
    <w:rsid w:val="001D0598"/>
    <w:rsid w:val="001D41A4"/>
    <w:rsid w:val="00213436"/>
    <w:rsid w:val="002504E3"/>
    <w:rsid w:val="002A4CF8"/>
    <w:rsid w:val="002E0AC6"/>
    <w:rsid w:val="00391B32"/>
    <w:rsid w:val="00393B7D"/>
    <w:rsid w:val="003C7B7C"/>
    <w:rsid w:val="00446075"/>
    <w:rsid w:val="00496935"/>
    <w:rsid w:val="004E331B"/>
    <w:rsid w:val="004E456B"/>
    <w:rsid w:val="004F74A8"/>
    <w:rsid w:val="00577FC9"/>
    <w:rsid w:val="005845D6"/>
    <w:rsid w:val="005A7860"/>
    <w:rsid w:val="006E00DD"/>
    <w:rsid w:val="00720174"/>
    <w:rsid w:val="008307A7"/>
    <w:rsid w:val="008560B9"/>
    <w:rsid w:val="00872D3B"/>
    <w:rsid w:val="008A2276"/>
    <w:rsid w:val="008C3498"/>
    <w:rsid w:val="008D13E9"/>
    <w:rsid w:val="008E0C60"/>
    <w:rsid w:val="008F70BE"/>
    <w:rsid w:val="00907CEC"/>
    <w:rsid w:val="00944D0E"/>
    <w:rsid w:val="00A85453"/>
    <w:rsid w:val="00A9139E"/>
    <w:rsid w:val="00B02983"/>
    <w:rsid w:val="00B20CD8"/>
    <w:rsid w:val="00B37C0B"/>
    <w:rsid w:val="00C070FC"/>
    <w:rsid w:val="00C22846"/>
    <w:rsid w:val="00C77551"/>
    <w:rsid w:val="00D02F20"/>
    <w:rsid w:val="00D73A01"/>
    <w:rsid w:val="00D92FEB"/>
    <w:rsid w:val="00DA4E84"/>
    <w:rsid w:val="00DB27E0"/>
    <w:rsid w:val="00ED3993"/>
    <w:rsid w:val="00F01F0C"/>
    <w:rsid w:val="00F7055F"/>
    <w:rsid w:val="00F95D2D"/>
    <w:rsid w:val="058B0FCA"/>
    <w:rsid w:val="05907765"/>
    <w:rsid w:val="08EBD128"/>
    <w:rsid w:val="100F06DC"/>
    <w:rsid w:val="15A82843"/>
    <w:rsid w:val="17D8C63A"/>
    <w:rsid w:val="207C14D5"/>
    <w:rsid w:val="2494358A"/>
    <w:rsid w:val="2B9569CD"/>
    <w:rsid w:val="3DB12A17"/>
    <w:rsid w:val="3F25011C"/>
    <w:rsid w:val="412F94B8"/>
    <w:rsid w:val="42073390"/>
    <w:rsid w:val="42120FEE"/>
    <w:rsid w:val="4F5B8524"/>
    <w:rsid w:val="58A82871"/>
    <w:rsid w:val="61CE16CF"/>
    <w:rsid w:val="7D09A196"/>
    <w:rsid w:val="7D88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ECB30"/>
  <w15:chartTrackingRefBased/>
  <w15:docId w15:val="{F664C381-0FFE-4597-B3C8-6EEE2D94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551"/>
    <w:pPr>
      <w:ind w:left="720"/>
      <w:contextualSpacing/>
    </w:pPr>
  </w:style>
  <w:style w:type="table" w:styleId="TableGrid">
    <w:name w:val="Table Grid"/>
    <w:basedOn w:val="TableNormal"/>
    <w:uiPriority w:val="39"/>
    <w:rsid w:val="0094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607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7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0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0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0E85807770D4E95B634EE374CE0A2" ma:contentTypeVersion="12" ma:contentTypeDescription="Create a new document." ma:contentTypeScope="" ma:versionID="1aaff634b2889fa8299d833d134675c6">
  <xsd:schema xmlns:xsd="http://www.w3.org/2001/XMLSchema" xmlns:xs="http://www.w3.org/2001/XMLSchema" xmlns:p="http://schemas.microsoft.com/office/2006/metadata/properties" xmlns:ns2="94166e38-1eb5-4ebb-bda2-ec6d3fb68673" xmlns:ns3="a406a0d0-e7d4-41bc-84bc-00bd4ff70f33" targetNamespace="http://schemas.microsoft.com/office/2006/metadata/properties" ma:root="true" ma:fieldsID="6e1cf4783f652248f6a35285247dca86" ns2:_="" ns3:_="">
    <xsd:import namespace="94166e38-1eb5-4ebb-bda2-ec6d3fb68673"/>
    <xsd:import namespace="a406a0d0-e7d4-41bc-84bc-00bd4ff70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66e38-1eb5-4ebb-bda2-ec6d3fb68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58b0421-3d9b-4d43-8840-b275eef407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6a0d0-e7d4-41bc-84bc-00bd4ff70f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064143-6b10-4b32-9dad-dbbb88ff3127}" ma:internalName="TaxCatchAll" ma:showField="CatchAllData" ma:web="a406a0d0-e7d4-41bc-84bc-00bd4ff70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06a0d0-e7d4-41bc-84bc-00bd4ff70f33" xsi:nil="true"/>
    <lcf76f155ced4ddcb4097134ff3c332f xmlns="94166e38-1eb5-4ebb-bda2-ec6d3fb686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89BDF-11A4-4255-A7C0-103C75F97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66e38-1eb5-4ebb-bda2-ec6d3fb68673"/>
    <ds:schemaRef ds:uri="a406a0d0-e7d4-41bc-84bc-00bd4ff70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729D26-2193-4C35-843F-3361FDC54FC7}">
  <ds:schemaRefs>
    <ds:schemaRef ds:uri="http://schemas.microsoft.com/office/2006/metadata/properties"/>
    <ds:schemaRef ds:uri="http://schemas.microsoft.com/office/infopath/2007/PartnerControls"/>
    <ds:schemaRef ds:uri="a406a0d0-e7d4-41bc-84bc-00bd4ff70f33"/>
    <ds:schemaRef ds:uri="94166e38-1eb5-4ebb-bda2-ec6d3fb68673"/>
  </ds:schemaRefs>
</ds:datastoreItem>
</file>

<file path=customXml/itemProps3.xml><?xml version="1.0" encoding="utf-8"?>
<ds:datastoreItem xmlns:ds="http://schemas.openxmlformats.org/officeDocument/2006/customXml" ds:itemID="{0BB02CDB-B2E2-4807-B9CD-09CA53FBB5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Bennett</dc:creator>
  <cp:keywords/>
  <dc:description/>
  <cp:lastModifiedBy>Kirsten Bennett</cp:lastModifiedBy>
  <cp:revision>2</cp:revision>
  <dcterms:created xsi:type="dcterms:W3CDTF">2023-10-18T04:28:00Z</dcterms:created>
  <dcterms:modified xsi:type="dcterms:W3CDTF">2023-10-18T04:28:00Z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0x010100C4D0E85807770D4E95B634EE374CE0A2</vt:lpwstr>
  </property>
</Properties>
</file>