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72"/>
      </w:tblGrid>
      <w:tr w:rsidR="001564A4" w:rsidRPr="0050053A" w14:paraId="5C38377B" w14:textId="77777777" w:rsidTr="00502686">
        <w:trPr>
          <w:trHeight w:val="416"/>
          <w:jc w:val="center"/>
        </w:trPr>
        <w:tc>
          <w:tcPr>
            <w:tcW w:w="9272" w:type="dxa"/>
            <w:shd w:val="clear" w:color="auto" w:fill="auto"/>
          </w:tcPr>
          <w:p w14:paraId="5C44F357" w14:textId="2720F6B0" w:rsidR="001564A4" w:rsidRPr="00502686" w:rsidRDefault="00502686" w:rsidP="00502686">
            <w:pPr>
              <w:rPr>
                <w:rFonts w:ascii="Arial" w:hAnsi="Arial" w:cs="Arial"/>
                <w:b/>
                <w:bCs/>
                <w:sz w:val="22"/>
                <w:szCs w:val="22"/>
              </w:rPr>
            </w:pPr>
            <w:r w:rsidRPr="00520399">
              <w:rPr>
                <w:rFonts w:ascii="Arial" w:hAnsi="Arial" w:cs="Arial"/>
                <w:b/>
                <w:bCs/>
                <w:sz w:val="22"/>
                <w:szCs w:val="22"/>
              </w:rPr>
              <w:t xml:space="preserve">Risk </w:t>
            </w:r>
            <w:r>
              <w:rPr>
                <w:rFonts w:ascii="Arial" w:hAnsi="Arial" w:cs="Arial"/>
                <w:b/>
                <w:bCs/>
                <w:sz w:val="22"/>
                <w:szCs w:val="22"/>
              </w:rPr>
              <w:t xml:space="preserve">factors </w:t>
            </w:r>
            <w:r w:rsidRPr="00520399">
              <w:rPr>
                <w:rFonts w:ascii="Arial" w:hAnsi="Arial" w:cs="Arial"/>
                <w:b/>
                <w:bCs/>
                <w:sz w:val="22"/>
                <w:szCs w:val="22"/>
              </w:rPr>
              <w:t>of pulmonary hypertension in interstitial lung disease</w:t>
            </w:r>
          </w:p>
        </w:tc>
      </w:tr>
      <w:tr w:rsidR="001564A4" w:rsidRPr="0050053A" w14:paraId="0E2E035C" w14:textId="77777777" w:rsidTr="00502686">
        <w:trPr>
          <w:trHeight w:val="685"/>
          <w:jc w:val="center"/>
        </w:trPr>
        <w:tc>
          <w:tcPr>
            <w:tcW w:w="9272" w:type="dxa"/>
            <w:shd w:val="clear" w:color="auto" w:fill="auto"/>
          </w:tcPr>
          <w:p w14:paraId="73B55295" w14:textId="077099CF" w:rsidR="001564A4" w:rsidRPr="00502686" w:rsidRDefault="00502686" w:rsidP="00502686">
            <w:pPr>
              <w:rPr>
                <w:rFonts w:ascii="Arial" w:hAnsi="Arial" w:cs="Arial"/>
                <w:color w:val="000000"/>
                <w:sz w:val="22"/>
                <w:szCs w:val="22"/>
                <w:shd w:val="clear" w:color="auto" w:fill="FFFFFF"/>
                <w:vertAlign w:val="superscript"/>
              </w:rPr>
            </w:pPr>
            <w:r w:rsidRPr="00520399">
              <w:rPr>
                <w:rFonts w:ascii="Arial" w:hAnsi="Arial" w:cs="Arial"/>
                <w:sz w:val="22"/>
                <w:szCs w:val="22"/>
                <w:lang w:val="en-AU"/>
              </w:rPr>
              <w:t>Hui Li Ang</w:t>
            </w:r>
            <w:r w:rsidRPr="00520399">
              <w:rPr>
                <w:rFonts w:ascii="Arial" w:hAnsi="Arial" w:cs="Arial"/>
                <w:sz w:val="22"/>
                <w:szCs w:val="22"/>
                <w:vertAlign w:val="superscript"/>
                <w:lang w:val="en-AU"/>
              </w:rPr>
              <w:t>1</w:t>
            </w:r>
            <w:r w:rsidRPr="00520399">
              <w:rPr>
                <w:rFonts w:ascii="Arial" w:hAnsi="Arial" w:cs="Arial"/>
                <w:sz w:val="22"/>
                <w:szCs w:val="22"/>
                <w:lang w:val="en-AU"/>
              </w:rPr>
              <w:t>, Max Schulte</w:t>
            </w:r>
            <w:r w:rsidRPr="00520399">
              <w:rPr>
                <w:rFonts w:ascii="Arial" w:hAnsi="Arial" w:cs="Arial"/>
                <w:sz w:val="22"/>
                <w:szCs w:val="22"/>
                <w:vertAlign w:val="superscript"/>
                <w:lang w:val="en-AU"/>
              </w:rPr>
              <w:t>2</w:t>
            </w:r>
            <w:r w:rsidRPr="00520399">
              <w:rPr>
                <w:rFonts w:ascii="Arial" w:hAnsi="Arial" w:cs="Arial"/>
                <w:sz w:val="22"/>
                <w:szCs w:val="22"/>
                <w:lang w:val="en-AU"/>
              </w:rPr>
              <w:t>, Roseanne Kimberley Chan</w:t>
            </w:r>
            <w:r w:rsidRPr="00520399">
              <w:rPr>
                <w:rFonts w:ascii="Arial" w:hAnsi="Arial" w:cs="Arial"/>
                <w:sz w:val="22"/>
                <w:szCs w:val="22"/>
                <w:vertAlign w:val="superscript"/>
                <w:lang w:val="en-AU"/>
              </w:rPr>
              <w:t>3</w:t>
            </w:r>
            <w:r w:rsidRPr="00520399">
              <w:rPr>
                <w:rFonts w:ascii="Arial" w:hAnsi="Arial" w:cs="Arial"/>
                <w:sz w:val="22"/>
                <w:szCs w:val="22"/>
                <w:lang w:val="en-AU"/>
              </w:rPr>
              <w:t>, Hann Hsiang Tan</w:t>
            </w:r>
            <w:r w:rsidRPr="00520399">
              <w:rPr>
                <w:rFonts w:ascii="Arial" w:hAnsi="Arial" w:cs="Arial"/>
                <w:sz w:val="22"/>
                <w:szCs w:val="22"/>
                <w:vertAlign w:val="superscript"/>
                <w:lang w:val="en-AU"/>
              </w:rPr>
              <w:t>4</w:t>
            </w:r>
            <w:r w:rsidRPr="00520399">
              <w:rPr>
                <w:rFonts w:ascii="Arial" w:hAnsi="Arial" w:cs="Arial"/>
                <w:sz w:val="22"/>
                <w:szCs w:val="22"/>
                <w:lang w:val="en-AU"/>
              </w:rPr>
              <w:t>, Amelia Harrison</w:t>
            </w:r>
            <w:r w:rsidRPr="00520399">
              <w:rPr>
                <w:rFonts w:ascii="Arial" w:hAnsi="Arial" w:cs="Arial"/>
                <w:sz w:val="22"/>
                <w:szCs w:val="22"/>
                <w:vertAlign w:val="superscript"/>
                <w:lang w:val="en-AU"/>
              </w:rPr>
              <w:t>5</w:t>
            </w:r>
            <w:r w:rsidRPr="00520399">
              <w:rPr>
                <w:rFonts w:ascii="Arial" w:hAnsi="Arial" w:cs="Arial"/>
                <w:sz w:val="22"/>
                <w:szCs w:val="22"/>
                <w:lang w:val="en-AU"/>
              </w:rPr>
              <w:t xml:space="preserve">, </w:t>
            </w:r>
            <w:r w:rsidRPr="00520399">
              <w:rPr>
                <w:rFonts w:ascii="Arial" w:hAnsi="Arial" w:cs="Arial"/>
                <w:color w:val="000000"/>
                <w:sz w:val="22"/>
                <w:szCs w:val="22"/>
                <w:shd w:val="clear" w:color="auto" w:fill="FFFFFF"/>
              </w:rPr>
              <w:t>Christopher J Ryerson</w:t>
            </w:r>
            <w:r w:rsidRPr="00520399">
              <w:rPr>
                <w:rFonts w:ascii="Arial" w:hAnsi="Arial" w:cs="Arial"/>
                <w:color w:val="000000"/>
                <w:sz w:val="22"/>
                <w:szCs w:val="22"/>
                <w:shd w:val="clear" w:color="auto" w:fill="FFFFFF"/>
                <w:vertAlign w:val="superscript"/>
              </w:rPr>
              <w:t>6,7</w:t>
            </w:r>
            <w:r w:rsidRPr="00520399">
              <w:rPr>
                <w:rFonts w:ascii="Arial" w:hAnsi="Arial" w:cs="Arial"/>
                <w:color w:val="000000"/>
                <w:sz w:val="22"/>
                <w:szCs w:val="22"/>
                <w:shd w:val="clear" w:color="auto" w:fill="FFFFFF"/>
              </w:rPr>
              <w:t>, Yet Hong Khor</w:t>
            </w:r>
            <w:r w:rsidRPr="00520399">
              <w:rPr>
                <w:rFonts w:ascii="Arial" w:hAnsi="Arial" w:cs="Arial"/>
                <w:color w:val="000000"/>
                <w:sz w:val="22"/>
                <w:szCs w:val="22"/>
                <w:shd w:val="clear" w:color="auto" w:fill="FFFFFF"/>
                <w:vertAlign w:val="superscript"/>
              </w:rPr>
              <w:t>2,8,9</w:t>
            </w:r>
          </w:p>
        </w:tc>
      </w:tr>
      <w:tr w:rsidR="001564A4" w:rsidRPr="0050053A" w14:paraId="385A19D9" w14:textId="77777777" w:rsidTr="00502686">
        <w:trPr>
          <w:trHeight w:val="192"/>
          <w:jc w:val="center"/>
        </w:trPr>
        <w:tc>
          <w:tcPr>
            <w:tcW w:w="9272" w:type="dxa"/>
            <w:shd w:val="clear" w:color="auto" w:fill="auto"/>
          </w:tcPr>
          <w:p w14:paraId="64F9DA50" w14:textId="77777777" w:rsidR="00502686" w:rsidRPr="00520399" w:rsidRDefault="00502686" w:rsidP="00502686">
            <w:pPr>
              <w:spacing w:before="120" w:after="120"/>
              <w:rPr>
                <w:rFonts w:ascii="Arial" w:hAnsi="Arial" w:cs="Arial"/>
                <w:i/>
                <w:sz w:val="22"/>
                <w:szCs w:val="22"/>
                <w:lang w:val="en-US"/>
              </w:rPr>
            </w:pPr>
            <w:r w:rsidRPr="00520399">
              <w:rPr>
                <w:rFonts w:ascii="Arial" w:hAnsi="Arial" w:cs="Arial"/>
                <w:i/>
                <w:sz w:val="22"/>
                <w:szCs w:val="22"/>
                <w:vertAlign w:val="superscript"/>
                <w:lang w:val="en-US"/>
              </w:rPr>
              <w:t>1</w:t>
            </w:r>
            <w:r w:rsidRPr="00520399">
              <w:rPr>
                <w:rFonts w:ascii="Arial" w:hAnsi="Arial" w:cs="Arial"/>
                <w:i/>
                <w:sz w:val="22"/>
                <w:szCs w:val="22"/>
                <w:lang w:val="en-US"/>
              </w:rPr>
              <w:t xml:space="preserve"> Royal Melbourne Hospital, Victoria, Australia</w:t>
            </w:r>
          </w:p>
          <w:p w14:paraId="60391BA2" w14:textId="77777777" w:rsidR="00502686" w:rsidRPr="00520399" w:rsidRDefault="00502686" w:rsidP="00502686">
            <w:pPr>
              <w:spacing w:before="120" w:after="120"/>
              <w:rPr>
                <w:rFonts w:ascii="Arial" w:hAnsi="Arial" w:cs="Arial"/>
                <w:i/>
                <w:sz w:val="22"/>
                <w:szCs w:val="22"/>
                <w:lang w:val="en-US"/>
              </w:rPr>
            </w:pPr>
            <w:r w:rsidRPr="00520399">
              <w:rPr>
                <w:rFonts w:ascii="Arial" w:hAnsi="Arial" w:cs="Arial"/>
                <w:i/>
                <w:sz w:val="22"/>
                <w:szCs w:val="22"/>
                <w:vertAlign w:val="superscript"/>
                <w:lang w:val="en-US"/>
              </w:rPr>
              <w:t xml:space="preserve">2 </w:t>
            </w:r>
            <w:r w:rsidRPr="00520399">
              <w:rPr>
                <w:rFonts w:ascii="Arial" w:hAnsi="Arial" w:cs="Arial"/>
                <w:i/>
                <w:sz w:val="22"/>
                <w:szCs w:val="22"/>
                <w:lang w:val="en-US"/>
              </w:rPr>
              <w:t>Institute for Breathing and Sleep, Victoria, Australia</w:t>
            </w:r>
          </w:p>
          <w:p w14:paraId="09E5F743" w14:textId="1ECC9ED1" w:rsidR="00502686" w:rsidRPr="00520399" w:rsidRDefault="00502686" w:rsidP="00502686">
            <w:pPr>
              <w:spacing w:before="120" w:after="120"/>
              <w:rPr>
                <w:rFonts w:ascii="Arial" w:hAnsi="Arial" w:cs="Arial"/>
                <w:i/>
                <w:sz w:val="22"/>
                <w:szCs w:val="22"/>
                <w:lang w:val="en-US"/>
              </w:rPr>
            </w:pPr>
            <w:r w:rsidRPr="00520399">
              <w:rPr>
                <w:rFonts w:ascii="Arial" w:hAnsi="Arial" w:cs="Arial"/>
                <w:i/>
                <w:sz w:val="22"/>
                <w:szCs w:val="22"/>
                <w:vertAlign w:val="superscript"/>
                <w:lang w:val="en-US"/>
              </w:rPr>
              <w:t xml:space="preserve">3 </w:t>
            </w:r>
            <w:r w:rsidRPr="00520399">
              <w:rPr>
                <w:rFonts w:ascii="Arial" w:hAnsi="Arial" w:cs="Arial"/>
                <w:i/>
                <w:sz w:val="22"/>
                <w:szCs w:val="22"/>
                <w:lang w:val="en-US"/>
              </w:rPr>
              <w:t xml:space="preserve">Department of Cardiology, </w:t>
            </w:r>
            <w:r w:rsidR="00896D98">
              <w:rPr>
                <w:rFonts w:ascii="Arial" w:hAnsi="Arial" w:cs="Arial"/>
                <w:i/>
                <w:sz w:val="22"/>
                <w:szCs w:val="22"/>
                <w:lang w:val="en-US"/>
              </w:rPr>
              <w:t>Western</w:t>
            </w:r>
            <w:r w:rsidRPr="00520399">
              <w:rPr>
                <w:rFonts w:ascii="Arial" w:hAnsi="Arial" w:cs="Arial"/>
                <w:i/>
                <w:sz w:val="22"/>
                <w:szCs w:val="22"/>
                <w:lang w:val="en-US"/>
              </w:rPr>
              <w:t xml:space="preserve"> Health, Victoria, Australia</w:t>
            </w:r>
          </w:p>
          <w:p w14:paraId="564B7DE9" w14:textId="77777777" w:rsidR="00502686" w:rsidRPr="00520399" w:rsidRDefault="00502686" w:rsidP="00502686">
            <w:pPr>
              <w:spacing w:before="120" w:after="120"/>
              <w:rPr>
                <w:rFonts w:ascii="Arial" w:hAnsi="Arial" w:cs="Arial"/>
                <w:i/>
                <w:sz w:val="22"/>
                <w:szCs w:val="22"/>
                <w:lang w:val="en-US"/>
              </w:rPr>
            </w:pPr>
            <w:r w:rsidRPr="00520399">
              <w:rPr>
                <w:rFonts w:ascii="Arial" w:hAnsi="Arial" w:cs="Arial"/>
                <w:i/>
                <w:sz w:val="22"/>
                <w:szCs w:val="22"/>
                <w:vertAlign w:val="superscript"/>
                <w:lang w:val="en-US"/>
              </w:rPr>
              <w:t xml:space="preserve">4 </w:t>
            </w:r>
            <w:r w:rsidRPr="00520399">
              <w:rPr>
                <w:rFonts w:ascii="Arial" w:hAnsi="Arial" w:cs="Arial"/>
                <w:i/>
                <w:sz w:val="22"/>
                <w:szCs w:val="22"/>
                <w:lang w:val="en-US"/>
              </w:rPr>
              <w:t>Royal Sussex County Hospital, Brighton, United Kingdom</w:t>
            </w:r>
          </w:p>
          <w:p w14:paraId="292A32CE" w14:textId="77777777" w:rsidR="00502686" w:rsidRPr="00520399" w:rsidRDefault="00502686" w:rsidP="00502686">
            <w:pPr>
              <w:spacing w:before="120" w:after="120"/>
              <w:rPr>
                <w:rFonts w:ascii="Arial" w:hAnsi="Arial" w:cs="Arial"/>
                <w:i/>
                <w:sz w:val="22"/>
                <w:szCs w:val="22"/>
                <w:lang w:val="en-US"/>
              </w:rPr>
            </w:pPr>
            <w:r w:rsidRPr="00520399">
              <w:rPr>
                <w:rFonts w:ascii="Arial" w:hAnsi="Arial" w:cs="Arial"/>
                <w:i/>
                <w:sz w:val="22"/>
                <w:szCs w:val="22"/>
                <w:vertAlign w:val="superscript"/>
                <w:lang w:val="en-US"/>
              </w:rPr>
              <w:t xml:space="preserve">5 </w:t>
            </w:r>
            <w:r w:rsidRPr="00520399">
              <w:rPr>
                <w:rFonts w:ascii="Arial" w:hAnsi="Arial" w:cs="Arial"/>
                <w:i/>
                <w:sz w:val="22"/>
                <w:szCs w:val="22"/>
                <w:lang w:val="en-US"/>
              </w:rPr>
              <w:t xml:space="preserve">Department of Respiratory and Sleep Disorders Medicine, Western Health, Victoria, Australia </w:t>
            </w:r>
          </w:p>
          <w:p w14:paraId="52EBD689" w14:textId="77777777" w:rsidR="00502686" w:rsidRPr="00520399" w:rsidRDefault="00502686" w:rsidP="00502686">
            <w:pPr>
              <w:spacing w:before="120" w:after="120"/>
              <w:rPr>
                <w:rFonts w:ascii="Arial" w:hAnsi="Arial" w:cs="Arial"/>
                <w:i/>
                <w:sz w:val="22"/>
                <w:szCs w:val="22"/>
                <w:lang w:val="en-US"/>
              </w:rPr>
            </w:pPr>
            <w:r w:rsidRPr="00520399">
              <w:rPr>
                <w:rFonts w:ascii="Arial" w:hAnsi="Arial" w:cs="Arial"/>
                <w:i/>
                <w:sz w:val="22"/>
                <w:szCs w:val="22"/>
                <w:vertAlign w:val="superscript"/>
                <w:lang w:val="en-US"/>
              </w:rPr>
              <w:t xml:space="preserve">6 </w:t>
            </w:r>
            <w:r w:rsidRPr="00520399">
              <w:rPr>
                <w:rFonts w:ascii="Arial" w:hAnsi="Arial" w:cs="Arial"/>
                <w:i/>
                <w:sz w:val="22"/>
                <w:szCs w:val="22"/>
                <w:lang w:val="en-US"/>
              </w:rPr>
              <w:t>University of British Columbia, Vancouver, British Columbia, Canada</w:t>
            </w:r>
          </w:p>
          <w:p w14:paraId="3C922D79" w14:textId="77777777" w:rsidR="00502686" w:rsidRPr="00F23015" w:rsidRDefault="00502686" w:rsidP="00502686">
            <w:pPr>
              <w:spacing w:before="120" w:after="120"/>
              <w:rPr>
                <w:rFonts w:ascii="Arial" w:hAnsi="Arial" w:cs="Arial"/>
                <w:i/>
                <w:color w:val="000000" w:themeColor="text1"/>
                <w:sz w:val="22"/>
                <w:szCs w:val="22"/>
                <w:lang w:val="en-US"/>
              </w:rPr>
            </w:pPr>
            <w:r w:rsidRPr="00520399">
              <w:rPr>
                <w:rFonts w:ascii="Arial" w:hAnsi="Arial" w:cs="Arial"/>
                <w:i/>
                <w:sz w:val="22"/>
                <w:szCs w:val="22"/>
                <w:vertAlign w:val="superscript"/>
                <w:lang w:val="en-US"/>
              </w:rPr>
              <w:t>7</w:t>
            </w:r>
            <w:r w:rsidRPr="00520399">
              <w:rPr>
                <w:rFonts w:ascii="Arial" w:hAnsi="Arial" w:cs="Arial"/>
                <w:i/>
                <w:sz w:val="22"/>
                <w:szCs w:val="22"/>
                <w:lang w:val="en-US"/>
              </w:rPr>
              <w:t xml:space="preserve"> Centre for </w:t>
            </w:r>
            <w:r w:rsidRPr="00F23015">
              <w:rPr>
                <w:rFonts w:ascii="Arial" w:hAnsi="Arial" w:cs="Arial"/>
                <w:i/>
                <w:color w:val="000000" w:themeColor="text1"/>
                <w:sz w:val="22"/>
                <w:szCs w:val="22"/>
                <w:lang w:val="en-US"/>
              </w:rPr>
              <w:t xml:space="preserve">Heart Lung Innovation, Vancouver, British Columbia, Canada </w:t>
            </w:r>
          </w:p>
          <w:p w14:paraId="4EE73D6B" w14:textId="77777777" w:rsidR="00502686" w:rsidRPr="00F23015" w:rsidRDefault="00502686" w:rsidP="00502686">
            <w:pPr>
              <w:spacing w:before="120" w:after="120"/>
              <w:rPr>
                <w:rFonts w:ascii="Arial" w:hAnsi="Arial" w:cs="Arial"/>
                <w:i/>
                <w:color w:val="000000" w:themeColor="text1"/>
                <w:sz w:val="22"/>
                <w:szCs w:val="22"/>
                <w:lang w:val="en-US"/>
              </w:rPr>
            </w:pPr>
            <w:r w:rsidRPr="00F23015">
              <w:rPr>
                <w:rFonts w:ascii="Arial" w:hAnsi="Arial" w:cs="Arial"/>
                <w:i/>
                <w:color w:val="000000" w:themeColor="text1"/>
                <w:sz w:val="22"/>
                <w:szCs w:val="22"/>
                <w:vertAlign w:val="superscript"/>
                <w:lang w:val="en-US"/>
              </w:rPr>
              <w:t xml:space="preserve">8 </w:t>
            </w:r>
            <w:r w:rsidRPr="00F23015">
              <w:rPr>
                <w:rFonts w:ascii="Arial" w:hAnsi="Arial" w:cs="Arial"/>
                <w:i/>
                <w:color w:val="000000" w:themeColor="text1"/>
                <w:sz w:val="22"/>
                <w:szCs w:val="22"/>
              </w:rPr>
              <w:t>Central Clinical School, Monash University, Victoria, Australia</w:t>
            </w:r>
          </w:p>
          <w:p w14:paraId="45ED36BF" w14:textId="273D41F3" w:rsidR="00502686" w:rsidRPr="0050053A" w:rsidRDefault="00502686" w:rsidP="00502686">
            <w:pPr>
              <w:rPr>
                <w:rFonts w:ascii="Arial" w:hAnsi="Arial" w:cs="Arial"/>
                <w:i/>
                <w:sz w:val="22"/>
                <w:szCs w:val="22"/>
                <w:lang w:val="en-US"/>
              </w:rPr>
            </w:pPr>
            <w:r w:rsidRPr="00F23015">
              <w:rPr>
                <w:rFonts w:ascii="Arial" w:hAnsi="Arial" w:cs="Arial"/>
                <w:i/>
                <w:color w:val="000000" w:themeColor="text1"/>
                <w:sz w:val="22"/>
                <w:szCs w:val="22"/>
                <w:vertAlign w:val="superscript"/>
                <w:lang w:val="en-US"/>
              </w:rPr>
              <w:t xml:space="preserve">9 </w:t>
            </w:r>
            <w:r w:rsidRPr="00F23015">
              <w:rPr>
                <w:rFonts w:ascii="Arial" w:hAnsi="Arial" w:cs="Arial"/>
                <w:i/>
                <w:color w:val="000000" w:themeColor="text1"/>
                <w:sz w:val="22"/>
                <w:szCs w:val="22"/>
                <w:lang w:val="en-US"/>
              </w:rPr>
              <w:t>Department of Respiratory and Sleep Medicine, Austin Health, Victoria, Australia</w:t>
            </w:r>
          </w:p>
        </w:tc>
      </w:tr>
      <w:tr w:rsidR="001564A4" w:rsidRPr="0050053A" w14:paraId="6DAF615A" w14:textId="77777777" w:rsidTr="00A613E5">
        <w:trPr>
          <w:trHeight w:hRule="exact" w:val="13619"/>
          <w:jc w:val="center"/>
        </w:trPr>
        <w:tc>
          <w:tcPr>
            <w:tcW w:w="9272" w:type="dxa"/>
            <w:shd w:val="clear" w:color="auto" w:fill="auto"/>
          </w:tcPr>
          <w:p w14:paraId="739E7937" w14:textId="77777777" w:rsidR="001564A4" w:rsidRPr="0050053A" w:rsidRDefault="001564A4" w:rsidP="000A28E2">
            <w:pPr>
              <w:pStyle w:val="Pa12"/>
              <w:rPr>
                <w:rStyle w:val="A4"/>
              </w:rPr>
            </w:pPr>
            <w:r>
              <w:rPr>
                <w:rStyle w:val="A4"/>
                <w:b/>
                <w:bCs/>
              </w:rPr>
              <w:lastRenderedPageBreak/>
              <w:t>Introduction/</w:t>
            </w:r>
            <w:r w:rsidRPr="0050053A">
              <w:rPr>
                <w:rStyle w:val="A4"/>
                <w:b/>
                <w:bCs/>
              </w:rPr>
              <w:t xml:space="preserve">Aim: </w:t>
            </w:r>
          </w:p>
          <w:p w14:paraId="3D770CF7" w14:textId="10C4B2D3" w:rsidR="001564A4" w:rsidRPr="00502686" w:rsidRDefault="00502686" w:rsidP="000A28E2">
            <w:pPr>
              <w:pStyle w:val="Pa12"/>
              <w:rPr>
                <w:rStyle w:val="A4"/>
                <w:color w:val="auto"/>
              </w:rPr>
            </w:pPr>
            <w:r w:rsidRPr="00520399">
              <w:rPr>
                <w:sz w:val="22"/>
                <w:szCs w:val="22"/>
              </w:rPr>
              <w:t>Pulmonary hypertension (PH) is a key complication of prognostic significance in interstitial lung disease (ILD), with recent advances in therapeutic strategies. This systematic review appraised current literature on risk and associated factors for PH in ILD patients.</w:t>
            </w:r>
            <w:r w:rsidR="001564A4">
              <w:rPr>
                <w:sz w:val="22"/>
                <w:szCs w:val="22"/>
              </w:rPr>
              <w:br/>
            </w:r>
          </w:p>
          <w:p w14:paraId="1B39336E" w14:textId="77777777" w:rsidR="001564A4" w:rsidRPr="0050053A" w:rsidRDefault="001564A4" w:rsidP="000A28E2">
            <w:pPr>
              <w:pStyle w:val="Pa12"/>
              <w:rPr>
                <w:rStyle w:val="A4"/>
                <w:b/>
                <w:bCs/>
              </w:rPr>
            </w:pPr>
            <w:r w:rsidRPr="0050053A">
              <w:rPr>
                <w:rStyle w:val="A4"/>
                <w:b/>
                <w:bCs/>
              </w:rPr>
              <w:t>Method</w:t>
            </w:r>
            <w:r>
              <w:rPr>
                <w:rStyle w:val="A4"/>
                <w:b/>
                <w:bCs/>
              </w:rPr>
              <w:t>s</w:t>
            </w:r>
            <w:r w:rsidRPr="0050053A">
              <w:rPr>
                <w:rStyle w:val="A4"/>
                <w:b/>
                <w:bCs/>
              </w:rPr>
              <w:t xml:space="preserve">: </w:t>
            </w:r>
          </w:p>
          <w:p w14:paraId="5029BAE6" w14:textId="5FFE7356" w:rsidR="001564A4" w:rsidRDefault="00502686" w:rsidP="00502686">
            <w:pPr>
              <w:pStyle w:val="Default"/>
              <w:rPr>
                <w:sz w:val="22"/>
                <w:szCs w:val="22"/>
              </w:rPr>
            </w:pPr>
            <w:r w:rsidRPr="00520399">
              <w:rPr>
                <w:sz w:val="22"/>
                <w:szCs w:val="22"/>
              </w:rPr>
              <w:t xml:space="preserve">We searched Ovid MEDLINE, Embase and CENTRAL databases </w:t>
            </w:r>
            <w:r>
              <w:rPr>
                <w:sz w:val="22"/>
                <w:szCs w:val="22"/>
              </w:rPr>
              <w:t>for original research</w:t>
            </w:r>
            <w:r>
              <w:rPr>
                <w:rStyle w:val="CommentReference"/>
                <w:rFonts w:asciiTheme="minorHAnsi" w:hAnsiTheme="minorHAnsi" w:cstheme="minorBidi"/>
                <w:color w:val="auto"/>
              </w:rPr>
              <w:t xml:space="preserve"> </w:t>
            </w:r>
            <w:r>
              <w:rPr>
                <w:sz w:val="22"/>
                <w:szCs w:val="22"/>
              </w:rPr>
              <w:t xml:space="preserve">evaluating pulmonary hypertension in participants with ILD of any aetiology. The definition of pulmonary hypertension was based on the investigators’ criteria. Other inclusion criteria were participants aged </w:t>
            </w:r>
            <w:r>
              <w:rPr>
                <w:sz w:val="22"/>
                <w:szCs w:val="22"/>
              </w:rPr>
              <w:sym w:font="Symbol" w:char="F0B3"/>
            </w:r>
            <w:r>
              <w:rPr>
                <w:sz w:val="22"/>
                <w:szCs w:val="22"/>
              </w:rPr>
              <w:t xml:space="preserve"> 18 years and a minimum sample size of 10 to evaluate clinical features. Eligibility of studies was assessed by two independent reviewers, with any discrepancies resolved by a third reviewer. </w:t>
            </w:r>
          </w:p>
          <w:p w14:paraId="3F9B837C" w14:textId="77777777" w:rsidR="00502686" w:rsidRPr="00502686" w:rsidRDefault="00502686" w:rsidP="00502686">
            <w:pPr>
              <w:pStyle w:val="Default"/>
              <w:rPr>
                <w:rStyle w:val="A4"/>
              </w:rPr>
            </w:pPr>
          </w:p>
          <w:p w14:paraId="6BF3F094" w14:textId="77777777" w:rsidR="001564A4" w:rsidRPr="0050053A" w:rsidRDefault="001564A4" w:rsidP="000A28E2">
            <w:pPr>
              <w:pStyle w:val="Pa12"/>
              <w:rPr>
                <w:rStyle w:val="A4"/>
                <w:b/>
                <w:bCs/>
              </w:rPr>
            </w:pPr>
            <w:r w:rsidRPr="0050053A">
              <w:rPr>
                <w:rStyle w:val="A4"/>
                <w:b/>
                <w:bCs/>
              </w:rPr>
              <w:t xml:space="preserve">Results: </w:t>
            </w:r>
          </w:p>
          <w:p w14:paraId="68537800" w14:textId="31B7567C" w:rsidR="001564A4" w:rsidRDefault="00502686" w:rsidP="00502686">
            <w:pPr>
              <w:pStyle w:val="Default"/>
              <w:rPr>
                <w:iCs/>
                <w:sz w:val="22"/>
                <w:szCs w:val="22"/>
              </w:rPr>
            </w:pPr>
            <w:r w:rsidRPr="00520399">
              <w:rPr>
                <w:iCs/>
                <w:sz w:val="22"/>
                <w:szCs w:val="22"/>
              </w:rPr>
              <w:t xml:space="preserve">369 studies were included in our analysis. </w:t>
            </w:r>
            <w:r>
              <w:rPr>
                <w:iCs/>
                <w:sz w:val="22"/>
                <w:szCs w:val="22"/>
              </w:rPr>
              <w:t>C</w:t>
            </w:r>
            <w:r w:rsidRPr="00520399">
              <w:rPr>
                <w:iCs/>
                <w:sz w:val="22"/>
                <w:szCs w:val="22"/>
              </w:rPr>
              <w:t xml:space="preserve">ommonly </w:t>
            </w:r>
            <w:r>
              <w:rPr>
                <w:iCs/>
                <w:sz w:val="22"/>
                <w:szCs w:val="22"/>
              </w:rPr>
              <w:t>evaluated</w:t>
            </w:r>
            <w:r w:rsidRPr="00520399">
              <w:rPr>
                <w:iCs/>
                <w:sz w:val="22"/>
                <w:szCs w:val="22"/>
              </w:rPr>
              <w:t xml:space="preserve"> parameters </w:t>
            </w:r>
            <w:r>
              <w:rPr>
                <w:iCs/>
                <w:sz w:val="22"/>
                <w:szCs w:val="22"/>
              </w:rPr>
              <w:t>included patient demographic characteristics,</w:t>
            </w:r>
            <w:r w:rsidRPr="00520399">
              <w:rPr>
                <w:iCs/>
                <w:sz w:val="22"/>
                <w:szCs w:val="22"/>
              </w:rPr>
              <w:t xml:space="preserve"> </w:t>
            </w:r>
            <w:r>
              <w:rPr>
                <w:iCs/>
                <w:sz w:val="22"/>
                <w:szCs w:val="22"/>
              </w:rPr>
              <w:t>pulmonary physiology, ventilatory responses, functional status, radiological assessments, and serum biomarkers</w:t>
            </w:r>
            <w:r w:rsidRPr="00520399">
              <w:rPr>
                <w:iCs/>
                <w:sz w:val="22"/>
                <w:szCs w:val="22"/>
              </w:rPr>
              <w:t xml:space="preserve"> </w:t>
            </w:r>
            <w:r w:rsidRPr="00520399">
              <w:rPr>
                <w:b/>
                <w:bCs/>
                <w:iCs/>
                <w:sz w:val="22"/>
                <w:szCs w:val="22"/>
              </w:rPr>
              <w:t>(</w:t>
            </w:r>
            <w:r>
              <w:rPr>
                <w:b/>
                <w:bCs/>
                <w:iCs/>
                <w:sz w:val="22"/>
                <w:szCs w:val="22"/>
              </w:rPr>
              <w:t>T</w:t>
            </w:r>
            <w:r w:rsidRPr="00520399">
              <w:rPr>
                <w:b/>
                <w:bCs/>
                <w:iCs/>
                <w:sz w:val="22"/>
                <w:szCs w:val="22"/>
              </w:rPr>
              <w:t>able)</w:t>
            </w:r>
            <w:r w:rsidRPr="00520399">
              <w:rPr>
                <w:iCs/>
                <w:sz w:val="22"/>
                <w:szCs w:val="22"/>
              </w:rPr>
              <w:t xml:space="preserve">. </w:t>
            </w:r>
            <w:r>
              <w:rPr>
                <w:iCs/>
                <w:sz w:val="22"/>
                <w:szCs w:val="22"/>
              </w:rPr>
              <w:t xml:space="preserve">Lower </w:t>
            </w:r>
            <w:r w:rsidRPr="00520399">
              <w:rPr>
                <w:iCs/>
                <w:sz w:val="22"/>
                <w:szCs w:val="22"/>
              </w:rPr>
              <w:t>diffusion capacity for carbon monoxide</w:t>
            </w:r>
            <w:r>
              <w:rPr>
                <w:iCs/>
                <w:sz w:val="22"/>
                <w:szCs w:val="22"/>
              </w:rPr>
              <w:t xml:space="preserve">, worse resting and exertional desaturation, reduced exercise capacity as measured by </w:t>
            </w:r>
            <w:r w:rsidRPr="00520399">
              <w:rPr>
                <w:iCs/>
                <w:sz w:val="22"/>
                <w:szCs w:val="22"/>
              </w:rPr>
              <w:t>6-minute walk distance</w:t>
            </w:r>
            <w:r>
              <w:rPr>
                <w:iCs/>
                <w:sz w:val="22"/>
                <w:szCs w:val="22"/>
              </w:rPr>
              <w:t>, increased</w:t>
            </w:r>
            <w:r w:rsidRPr="002D23D0">
              <w:rPr>
                <w:iCs/>
                <w:sz w:val="22"/>
                <w:szCs w:val="22"/>
              </w:rPr>
              <w:t xml:space="preserve"> </w:t>
            </w:r>
            <w:r w:rsidRPr="00520399">
              <w:rPr>
                <w:iCs/>
                <w:sz w:val="22"/>
                <w:szCs w:val="22"/>
              </w:rPr>
              <w:t>pulmonary artery to aortic ratio</w:t>
            </w:r>
            <w:r>
              <w:rPr>
                <w:iCs/>
                <w:sz w:val="22"/>
                <w:szCs w:val="22"/>
              </w:rPr>
              <w:t xml:space="preserve"> and </w:t>
            </w:r>
            <w:r w:rsidRPr="00520399">
              <w:rPr>
                <w:iCs/>
                <w:sz w:val="22"/>
                <w:szCs w:val="22"/>
              </w:rPr>
              <w:t>pulmonary artery diameter</w:t>
            </w:r>
            <w:r>
              <w:rPr>
                <w:iCs/>
                <w:sz w:val="22"/>
                <w:szCs w:val="22"/>
              </w:rPr>
              <w:t xml:space="preserve">, and elevated serum </w:t>
            </w:r>
            <w:r w:rsidRPr="00520399">
              <w:rPr>
                <w:iCs/>
                <w:sz w:val="22"/>
                <w:szCs w:val="22"/>
              </w:rPr>
              <w:t>brain natriuretic peptide</w:t>
            </w:r>
            <w:r>
              <w:rPr>
                <w:iCs/>
                <w:sz w:val="22"/>
                <w:szCs w:val="22"/>
              </w:rPr>
              <w:t xml:space="preserve"> were consistently associated with the presence or at-risk of PH in at least 60% of reported studies</w:t>
            </w:r>
            <w:r w:rsidRPr="00520399">
              <w:rPr>
                <w:iCs/>
                <w:sz w:val="22"/>
                <w:szCs w:val="22"/>
              </w:rPr>
              <w:t xml:space="preserve">. </w:t>
            </w:r>
            <w:r>
              <w:rPr>
                <w:iCs/>
                <w:sz w:val="22"/>
                <w:szCs w:val="22"/>
              </w:rPr>
              <w:t>Most</w:t>
            </w:r>
            <w:r w:rsidRPr="00520399">
              <w:rPr>
                <w:iCs/>
                <w:sz w:val="22"/>
                <w:szCs w:val="22"/>
              </w:rPr>
              <w:t xml:space="preserve"> studie</w:t>
            </w:r>
            <w:r>
              <w:rPr>
                <w:iCs/>
                <w:sz w:val="22"/>
                <w:szCs w:val="22"/>
              </w:rPr>
              <w:t>s reporting</w:t>
            </w:r>
            <w:r w:rsidRPr="00520399">
              <w:rPr>
                <w:iCs/>
                <w:sz w:val="22"/>
                <w:szCs w:val="22"/>
              </w:rPr>
              <w:t xml:space="preserve"> age, sex</w:t>
            </w:r>
            <w:r>
              <w:rPr>
                <w:iCs/>
                <w:sz w:val="22"/>
                <w:szCs w:val="22"/>
              </w:rPr>
              <w:t xml:space="preserve">, </w:t>
            </w:r>
            <w:r w:rsidRPr="00520399">
              <w:rPr>
                <w:iCs/>
                <w:sz w:val="22"/>
                <w:szCs w:val="22"/>
              </w:rPr>
              <w:t>weight or body mass index</w:t>
            </w:r>
            <w:r>
              <w:rPr>
                <w:iCs/>
                <w:sz w:val="22"/>
                <w:szCs w:val="22"/>
              </w:rPr>
              <w:t>, spirometry parameters, and the extent of lung fibrosis on computed tomography</w:t>
            </w:r>
            <w:r w:rsidRPr="00520399">
              <w:rPr>
                <w:iCs/>
                <w:sz w:val="22"/>
                <w:szCs w:val="22"/>
              </w:rPr>
              <w:t xml:space="preserve"> </w:t>
            </w:r>
            <w:r>
              <w:rPr>
                <w:iCs/>
                <w:sz w:val="22"/>
                <w:szCs w:val="22"/>
              </w:rPr>
              <w:t xml:space="preserve">demonstrated </w:t>
            </w:r>
            <w:r w:rsidRPr="00520399">
              <w:rPr>
                <w:iCs/>
                <w:sz w:val="22"/>
                <w:szCs w:val="22"/>
              </w:rPr>
              <w:t xml:space="preserve">no significant </w:t>
            </w:r>
            <w:r>
              <w:rPr>
                <w:iCs/>
                <w:sz w:val="22"/>
                <w:szCs w:val="22"/>
              </w:rPr>
              <w:t>associations for the presence or at-risk of PH</w:t>
            </w:r>
            <w:r w:rsidRPr="00520399">
              <w:rPr>
                <w:iCs/>
                <w:sz w:val="22"/>
                <w:szCs w:val="22"/>
              </w:rPr>
              <w:t xml:space="preserve">. </w:t>
            </w:r>
          </w:p>
          <w:p w14:paraId="617D99ED" w14:textId="77777777" w:rsidR="00502686" w:rsidRPr="00502686" w:rsidRDefault="00502686" w:rsidP="00502686">
            <w:pPr>
              <w:pStyle w:val="Default"/>
              <w:rPr>
                <w:rStyle w:val="A4"/>
                <w:iCs/>
              </w:rPr>
            </w:pPr>
          </w:p>
          <w:p w14:paraId="652F7BE1" w14:textId="77777777" w:rsidR="001564A4" w:rsidRPr="0050053A" w:rsidRDefault="001564A4" w:rsidP="000A28E2">
            <w:pPr>
              <w:pStyle w:val="Pa12"/>
              <w:rPr>
                <w:rStyle w:val="A4"/>
                <w:b/>
                <w:bCs/>
              </w:rPr>
            </w:pPr>
            <w:r w:rsidRPr="0050053A">
              <w:rPr>
                <w:rStyle w:val="A4"/>
                <w:b/>
                <w:bCs/>
              </w:rPr>
              <w:t xml:space="preserve">Conclusion: </w:t>
            </w:r>
          </w:p>
          <w:p w14:paraId="784CA0BC" w14:textId="77777777" w:rsidR="00502686" w:rsidRPr="00520399" w:rsidRDefault="00502686" w:rsidP="00502686">
            <w:pPr>
              <w:pStyle w:val="Default"/>
              <w:rPr>
                <w:sz w:val="22"/>
                <w:szCs w:val="22"/>
              </w:rPr>
            </w:pPr>
            <w:r>
              <w:rPr>
                <w:sz w:val="22"/>
                <w:szCs w:val="22"/>
              </w:rPr>
              <w:t>S</w:t>
            </w:r>
            <w:r w:rsidRPr="00520399">
              <w:rPr>
                <w:sz w:val="22"/>
                <w:szCs w:val="22"/>
              </w:rPr>
              <w:t xml:space="preserve">everal </w:t>
            </w:r>
            <w:r>
              <w:rPr>
                <w:sz w:val="22"/>
                <w:szCs w:val="22"/>
              </w:rPr>
              <w:t xml:space="preserve">clinically available </w:t>
            </w:r>
            <w:r w:rsidRPr="00520399">
              <w:rPr>
                <w:sz w:val="22"/>
                <w:szCs w:val="22"/>
              </w:rPr>
              <w:t xml:space="preserve">risk factors </w:t>
            </w:r>
            <w:r>
              <w:rPr>
                <w:sz w:val="22"/>
                <w:szCs w:val="22"/>
              </w:rPr>
              <w:t xml:space="preserve">are </w:t>
            </w:r>
            <w:r w:rsidRPr="00520399">
              <w:rPr>
                <w:sz w:val="22"/>
                <w:szCs w:val="22"/>
              </w:rPr>
              <w:t>associat</w:t>
            </w:r>
            <w:r>
              <w:rPr>
                <w:sz w:val="22"/>
                <w:szCs w:val="22"/>
              </w:rPr>
              <w:t>ed</w:t>
            </w:r>
            <w:r w:rsidRPr="00520399">
              <w:rPr>
                <w:sz w:val="22"/>
                <w:szCs w:val="22"/>
              </w:rPr>
              <w:t xml:space="preserve"> with PH</w:t>
            </w:r>
            <w:r>
              <w:rPr>
                <w:sz w:val="22"/>
                <w:szCs w:val="22"/>
              </w:rPr>
              <w:t xml:space="preserve">, which warrant prospective evaluation to develop a clinical prediction model for </w:t>
            </w:r>
            <w:r w:rsidRPr="006F2CE1">
              <w:rPr>
                <w:sz w:val="22"/>
                <w:szCs w:val="22"/>
              </w:rPr>
              <w:t>risk-stratified</w:t>
            </w:r>
            <w:r>
              <w:rPr>
                <w:sz w:val="22"/>
                <w:szCs w:val="22"/>
              </w:rPr>
              <w:t xml:space="preserve"> assessments of PH in </w:t>
            </w:r>
            <w:r w:rsidRPr="00520399">
              <w:rPr>
                <w:sz w:val="22"/>
                <w:szCs w:val="22"/>
              </w:rPr>
              <w:t>patients</w:t>
            </w:r>
            <w:r>
              <w:rPr>
                <w:sz w:val="22"/>
                <w:szCs w:val="22"/>
              </w:rPr>
              <w:t xml:space="preserve"> with ILD</w:t>
            </w:r>
            <w:r w:rsidRPr="00520399">
              <w:rPr>
                <w:sz w:val="22"/>
                <w:szCs w:val="22"/>
              </w:rPr>
              <w:t xml:space="preserve">. </w:t>
            </w:r>
          </w:p>
          <w:p w14:paraId="7C2E6C17" w14:textId="3D2BEC3A" w:rsidR="00502686" w:rsidRPr="005A5700" w:rsidRDefault="00502686" w:rsidP="00502686">
            <w:pPr>
              <w:rPr>
                <w:rFonts w:ascii="Arial" w:hAnsi="Arial" w:cs="Arial"/>
                <w:b/>
                <w:bCs/>
                <w:iCs/>
                <w:sz w:val="15"/>
                <w:szCs w:val="15"/>
              </w:rPr>
            </w:pPr>
          </w:p>
          <w:p w14:paraId="69B04572" w14:textId="4E7ADE66" w:rsidR="001564A4" w:rsidRDefault="00502686" w:rsidP="00502686">
            <w:pPr>
              <w:rPr>
                <w:rFonts w:ascii="Arial" w:hAnsi="Arial" w:cs="Arial"/>
                <w:b/>
                <w:bCs/>
                <w:iCs/>
                <w:sz w:val="15"/>
                <w:szCs w:val="15"/>
              </w:rPr>
            </w:pPr>
            <w:r w:rsidRPr="005A5700">
              <w:rPr>
                <w:rFonts w:ascii="Arial" w:hAnsi="Arial" w:cs="Arial"/>
                <w:b/>
                <w:bCs/>
                <w:iCs/>
                <w:sz w:val="15"/>
                <w:szCs w:val="15"/>
              </w:rPr>
              <w:t xml:space="preserve">Table of </w:t>
            </w:r>
            <w:r>
              <w:rPr>
                <w:rFonts w:ascii="Arial" w:hAnsi="Arial" w:cs="Arial"/>
                <w:b/>
                <w:bCs/>
                <w:iCs/>
                <w:sz w:val="15"/>
                <w:szCs w:val="15"/>
              </w:rPr>
              <w:t xml:space="preserve">risk factors and </w:t>
            </w:r>
            <w:r w:rsidRPr="005A5700">
              <w:rPr>
                <w:rFonts w:ascii="Arial" w:hAnsi="Arial" w:cs="Arial"/>
                <w:b/>
                <w:bCs/>
                <w:iCs/>
                <w:sz w:val="15"/>
                <w:szCs w:val="15"/>
              </w:rPr>
              <w:t>associations</w:t>
            </w:r>
          </w:p>
          <w:p w14:paraId="2A651708" w14:textId="66EC38FB" w:rsidR="001564A4" w:rsidRPr="00FA69D1" w:rsidRDefault="00FA69D1" w:rsidP="00FA69D1">
            <w:pPr>
              <w:rPr>
                <w:rFonts w:ascii="Arial" w:hAnsi="Arial" w:cs="Arial"/>
                <w:b/>
                <w:bCs/>
                <w:iCs/>
                <w:sz w:val="15"/>
                <w:szCs w:val="15"/>
              </w:rPr>
            </w:pPr>
            <w:r>
              <w:rPr>
                <w:rFonts w:ascii="Arial" w:hAnsi="Arial" w:cs="Arial"/>
                <w:b/>
                <w:bCs/>
                <w:iCs/>
                <w:noProof/>
                <w:sz w:val="15"/>
                <w:szCs w:val="15"/>
              </w:rPr>
              <w:drawing>
                <wp:inline distT="0" distB="0" distL="0" distR="0" wp14:anchorId="1C6ABFBF" wp14:editId="0EFBA4C1">
                  <wp:extent cx="5750560" cy="301498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50560" cy="3014980"/>
                          </a:xfrm>
                          <a:prstGeom prst="rect">
                            <a:avLst/>
                          </a:prstGeom>
                        </pic:spPr>
                      </pic:pic>
                    </a:graphicData>
                  </a:graphic>
                </wp:inline>
              </w:drawing>
            </w:r>
          </w:p>
          <w:p w14:paraId="6E064DD0" w14:textId="1A948339" w:rsidR="00502686" w:rsidRPr="005A5700" w:rsidRDefault="00502686" w:rsidP="00502686">
            <w:pPr>
              <w:rPr>
                <w:rFonts w:ascii="Arial" w:hAnsi="Arial" w:cs="Arial"/>
                <w:iCs/>
                <w:sz w:val="13"/>
                <w:szCs w:val="13"/>
              </w:rPr>
            </w:pPr>
            <w:r>
              <w:rPr>
                <w:rFonts w:ascii="Arial" w:hAnsi="Arial" w:cs="Arial"/>
                <w:iCs/>
                <w:sz w:val="13"/>
                <w:szCs w:val="13"/>
              </w:rPr>
              <w:t xml:space="preserve">N, number of studies; </w:t>
            </w:r>
            <w:r w:rsidRPr="005A5700">
              <w:rPr>
                <w:rFonts w:ascii="Arial" w:hAnsi="Arial" w:cs="Arial"/>
                <w:iCs/>
                <w:sz w:val="13"/>
                <w:szCs w:val="13"/>
              </w:rPr>
              <w:t>BMI, body mass index; DLCO, diffusion capacity for carbon monoxide; TLCO, transfer capacity for carbon monoxide; FVC, forced vital capacity; FEV</w:t>
            </w:r>
            <w:r w:rsidRPr="005A5700">
              <w:rPr>
                <w:rFonts w:ascii="Arial" w:hAnsi="Arial" w:cs="Arial"/>
                <w:iCs/>
                <w:sz w:val="13"/>
                <w:szCs w:val="13"/>
                <w:vertAlign w:val="subscript"/>
              </w:rPr>
              <w:t>1</w:t>
            </w:r>
            <w:r w:rsidRPr="005A5700">
              <w:rPr>
                <w:rFonts w:ascii="Arial" w:hAnsi="Arial" w:cs="Arial"/>
                <w:iCs/>
                <w:sz w:val="13"/>
                <w:szCs w:val="13"/>
              </w:rPr>
              <w:t xml:space="preserve">, forced expiratory volume in 1 second; 6MWD, 6-minute walk distance; PA:Ao, pulmonary artery to aortic ratio; PAD, pulmonary artery diameter; BNP, brain natriuretic peptide </w:t>
            </w:r>
          </w:p>
          <w:p w14:paraId="196E7BAC" w14:textId="68D3A0ED" w:rsidR="001564A4" w:rsidRPr="0050053A" w:rsidRDefault="001564A4" w:rsidP="000A28E2">
            <w:pPr>
              <w:pStyle w:val="Pa12"/>
              <w:rPr>
                <w:rStyle w:val="A4"/>
                <w:bCs/>
              </w:rPr>
            </w:pPr>
          </w:p>
          <w:p w14:paraId="634B139D" w14:textId="77777777" w:rsidR="00FA69D1" w:rsidRDefault="001564A4" w:rsidP="00A613E5">
            <w:pPr>
              <w:pStyle w:val="Pa12"/>
            </w:pPr>
            <w:r w:rsidRPr="00F23015">
              <w:rPr>
                <w:rStyle w:val="A4"/>
                <w:b/>
                <w:bCs/>
              </w:rPr>
              <w:t xml:space="preserve">Grant Support: </w:t>
            </w:r>
            <w:r w:rsidR="00502686" w:rsidRPr="00F23015">
              <w:rPr>
                <w:rStyle w:val="A4"/>
              </w:rPr>
              <w:t>Nil</w:t>
            </w:r>
            <w:r w:rsidR="00FA69D1">
              <w:rPr>
                <w:rStyle w:val="A4"/>
              </w:rPr>
              <w:t xml:space="preserve">. </w:t>
            </w:r>
            <w:r w:rsidR="00F23015" w:rsidRPr="00F23015">
              <w:rPr>
                <w:rStyle w:val="A4"/>
                <w:b/>
                <w:bCs/>
              </w:rPr>
              <w:t>Key words:</w:t>
            </w:r>
            <w:r w:rsidR="00F23015" w:rsidRPr="00F23015">
              <w:rPr>
                <w:rStyle w:val="A4"/>
              </w:rPr>
              <w:t xml:space="preserve"> pulmonary hypertension, interstitial lung disease</w:t>
            </w:r>
            <w:r w:rsidR="00FA69D1">
              <w:t xml:space="preserve"> </w:t>
            </w:r>
          </w:p>
          <w:p w14:paraId="5F58D34F" w14:textId="462A63FF" w:rsidR="001564A4" w:rsidRPr="00FA69D1" w:rsidRDefault="00F23015" w:rsidP="00A613E5">
            <w:pPr>
              <w:pStyle w:val="Pa12"/>
              <w:rPr>
                <w:color w:val="000000"/>
                <w:sz w:val="22"/>
                <w:szCs w:val="22"/>
              </w:rPr>
            </w:pPr>
            <w:r w:rsidRPr="00F23015">
              <w:rPr>
                <w:b/>
                <w:bCs/>
                <w:sz w:val="22"/>
                <w:szCs w:val="22"/>
              </w:rPr>
              <w:t xml:space="preserve">Word Count: </w:t>
            </w:r>
            <w:r w:rsidRPr="00F23015">
              <w:rPr>
                <w:sz w:val="22"/>
                <w:szCs w:val="22"/>
              </w:rPr>
              <w:t>245 words</w:t>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r w:rsidR="001564A4">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2C2A8A"/>
    <w:rsid w:val="002D237A"/>
    <w:rsid w:val="00502686"/>
    <w:rsid w:val="0051574E"/>
    <w:rsid w:val="00590F87"/>
    <w:rsid w:val="008803FA"/>
    <w:rsid w:val="00896D98"/>
    <w:rsid w:val="00A613E5"/>
    <w:rsid w:val="00B12E32"/>
    <w:rsid w:val="00B34155"/>
    <w:rsid w:val="00E0700F"/>
    <w:rsid w:val="00F130C0"/>
    <w:rsid w:val="00F23015"/>
    <w:rsid w:val="00FA69D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CommentReference">
    <w:name w:val="annotation reference"/>
    <w:basedOn w:val="DefaultParagraphFont"/>
    <w:uiPriority w:val="99"/>
    <w:semiHidden/>
    <w:unhideWhenUsed/>
    <w:rsid w:val="0050268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Hui Li Ang</cp:lastModifiedBy>
  <cp:revision>2</cp:revision>
  <dcterms:created xsi:type="dcterms:W3CDTF">2023-10-11T06:38:00Z</dcterms:created>
  <dcterms:modified xsi:type="dcterms:W3CDTF">2023-10-11T06:38:00Z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