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5389" w:rsidRDefault="00EA4DDC" w:rsidP="00F11C6D">
      <w:pPr>
        <w:spacing w:before="240" w:after="240"/>
      </w:pPr>
      <w:r>
        <w:rPr>
          <w:b/>
          <w:bCs/>
        </w:rPr>
        <w:t>Title</w:t>
      </w:r>
      <w:r>
        <w:br/>
        <w:t xml:space="preserve">Ethnic differences in prediabetes and diabetes management: A systematic review </w:t>
      </w:r>
    </w:p>
    <w:p w14:paraId="00000002" w14:textId="77777777" w:rsidR="00355389" w:rsidRDefault="00EA4DDC" w:rsidP="00F11C6D">
      <w:pPr>
        <w:spacing w:before="240" w:after="240"/>
      </w:pPr>
      <w:r>
        <w:rPr>
          <w:b/>
          <w:bCs/>
        </w:rPr>
        <w:t>Aim</w:t>
      </w:r>
      <w:r>
        <w:br/>
      </w:r>
      <w:r>
        <w:t xml:space="preserve">To systematically evaluate ethnic differences in the management of diabetes and prediabetes among adults </w:t>
      </w:r>
    </w:p>
    <w:p w14:paraId="65997ED5" w14:textId="7015FFB1" w:rsidR="00F11C6D" w:rsidRPr="00F11C6D" w:rsidRDefault="00F11C6D" w:rsidP="00F11C6D">
      <w:pPr>
        <w:spacing w:before="240" w:after="240"/>
        <w:rPr>
          <w:rFonts w:ascii="Times New Roman" w:eastAsia="Times New Roman" w:hAnsi="Times New Roman" w:cs="Times New Roman"/>
          <w:sz w:val="24"/>
          <w:szCs w:val="24"/>
          <w:lang w:val="en-AU"/>
        </w:rPr>
      </w:pPr>
      <w:r w:rsidRPr="00F11C6D">
        <w:rPr>
          <w:rFonts w:eastAsia="Times New Roman"/>
          <w:b/>
          <w:bCs/>
          <w:color w:val="000000"/>
          <w:lang w:val="en-AU"/>
        </w:rPr>
        <w:t>Methods</w:t>
      </w:r>
      <w:r w:rsidRPr="00F11C6D">
        <w:rPr>
          <w:rFonts w:eastAsia="Times New Roman"/>
          <w:color w:val="000000"/>
          <w:lang w:val="en-AU"/>
        </w:rPr>
        <w:br/>
        <w:t xml:space="preserve">This systematic review was conducted in accordance with PRISMA guidelines. PubMed MEDLINE Embase, Scopus, PsycINFO and Web of Science were searched for studies published between January 2014 and December 2024. Eligible studies included observational studies that reported ethnicity-stratified data on management of type 1 diabetes (T1D), type 2 diabetes (T2D) or prediabetes among adults (≥18 years). Management outcomes included glycaemic monitoring, HbA1c testing, blood glucose self-testing, lipid and kidney function screening, blood pressure assessment, pharmacological therapy, treatment intensification, lifestyle interventions such as diet and exercise monitoring and general access to healthcare. </w:t>
      </w:r>
      <w:r w:rsidRPr="00F11C6D">
        <w:rPr>
          <w:rFonts w:eastAsia="Times New Roman"/>
          <w:color w:val="000000"/>
          <w:lang w:val="en-AU"/>
        </w:rPr>
        <w:t>Two reviewers independently screened records</w:t>
      </w:r>
      <w:r w:rsidRPr="00F11C6D">
        <w:rPr>
          <w:rFonts w:eastAsia="Times New Roman"/>
          <w:color w:val="000000"/>
          <w:lang w:val="en-AU"/>
        </w:rPr>
        <w:t xml:space="preserve"> extracted data and assessed the quality score of the articles using the Joanna Briggs Institute tool. </w:t>
      </w:r>
    </w:p>
    <w:p w14:paraId="00000004" w14:textId="77777777" w:rsidR="00355389" w:rsidRDefault="00EA4DDC" w:rsidP="00F11C6D">
      <w:pPr>
        <w:spacing w:before="240" w:after="240"/>
      </w:pPr>
      <w:r>
        <w:rPr>
          <w:b/>
          <w:bCs/>
        </w:rPr>
        <w:t>R</w:t>
      </w:r>
      <w:r>
        <w:rPr>
          <w:b/>
          <w:bCs/>
        </w:rPr>
        <w:t>esults</w:t>
      </w:r>
      <w:r>
        <w:rPr>
          <w:b/>
          <w:bCs/>
        </w:rPr>
        <w:br/>
      </w:r>
      <w:r>
        <w:t>A total of 2,206 studies were identified, 84</w:t>
      </w:r>
      <w:r>
        <w:rPr>
          <w:color w:val="980000"/>
        </w:rPr>
        <w:t xml:space="preserve"> </w:t>
      </w:r>
      <w:r>
        <w:t>me</w:t>
      </w:r>
      <w:r>
        <w:t>t inclusion criteria. 48 studies examined T2D, 5 examined T1D, 30 included both T1D and T2D, and 1 study specifically examined prediabetes. Pharmacological management was evaluated in 57% of studies (n=48), non-pharmacological approaches in 38% (n=32), and</w:t>
      </w:r>
      <w:r>
        <w:t xml:space="preserve"> both strategies in 8% (n=7). Across studies reporting clinical outcomes, minority populations were more likely to have higher HbA1c levels at diagnosis and follow-up. First Nations Peoples, South Asian and Middle Eastern populations were less likely to re</w:t>
      </w:r>
      <w:r>
        <w:t>ceive recommended HbA1c monitoring, lipid and kidney function screening, and timely treatment intensification compared with people of European background. Disparities were also observed in medication initiation and preventive care delivery.</w:t>
      </w:r>
    </w:p>
    <w:p w14:paraId="00000005" w14:textId="52B4D08B" w:rsidR="00355389" w:rsidRDefault="00EA4DDC" w:rsidP="00F11C6D">
      <w:pPr>
        <w:spacing w:before="240" w:after="240"/>
      </w:pPr>
      <w:r>
        <w:rPr>
          <w:b/>
          <w:bCs/>
        </w:rPr>
        <w:t>Conclusion</w:t>
      </w:r>
      <w:r>
        <w:br/>
        <w:t>Desp</w:t>
      </w:r>
      <w:r>
        <w:t xml:space="preserve">ite universal healthcare coverage, clinically meaningful ethnic disparities in diabetes and prediabetes management persist. Inequities in monitoring and treatment intensification are evident across multiple populations. </w:t>
      </w:r>
      <w:r w:rsidR="00F11C6D">
        <w:t>Standardized</w:t>
      </w:r>
      <w:r>
        <w:t xml:space="preserve"> ethnicity reporting and</w:t>
      </w:r>
      <w:r>
        <w:t xml:space="preserve"> culturally responsive system-level interventions are required to achieve equitable diabetes care.</w:t>
      </w:r>
    </w:p>
    <w:p w14:paraId="00000006" w14:textId="77777777" w:rsidR="00355389" w:rsidRDefault="00355389" w:rsidP="00F11C6D">
      <w:pPr>
        <w:spacing w:before="240" w:after="240"/>
      </w:pPr>
    </w:p>
    <w:p w14:paraId="00000007" w14:textId="77777777" w:rsidR="00355389" w:rsidRDefault="00355389" w:rsidP="00F11C6D"/>
    <w:sectPr w:rsidR="003553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A479161F-3C2D-4B49-A488-8E2508F789C2}"/>
    <w:embedBold r:id="rId2" w:fontKey="{78D7430B-B5D9-4448-90D0-67CA60AAEAE5}"/>
    <w:embedItalic r:id="rId3" w:fontKey="{0744FB7F-417A-FD4D-AB20-BF0F30D5B8A3}"/>
  </w:font>
  <w:font w:name="Times New Roman">
    <w:panose1 w:val="02020603050405020304"/>
    <w:charset w:val="00"/>
    <w:family w:val="roman"/>
    <w:pitch w:val="variable"/>
    <w:sig w:usb0="E0002EFF" w:usb1="C000785B" w:usb2="00000009" w:usb3="00000000" w:csb0="000001FF" w:csb1="00000000"/>
    <w:embedRegular r:id="rId4" w:fontKey="{371D5ECA-7968-3A42-9410-3850A263E4B2}"/>
    <w:embedBold r:id="rId5" w:fontKey="{768EAF1C-C369-734F-9C44-13B609CA6405}"/>
  </w:font>
  <w:font w:name="Calibri">
    <w:panose1 w:val="020F0502020204030204"/>
    <w:charset w:val="00"/>
    <w:family w:val="swiss"/>
    <w:pitch w:val="variable"/>
    <w:sig w:usb0="E0002AFF" w:usb1="C000247B" w:usb2="00000009" w:usb3="00000000" w:csb0="000001FF" w:csb1="00000000"/>
    <w:embedRegular r:id="rId6" w:fontKey="{D0A6B420-96FF-7442-9826-E0991AA5A504}"/>
  </w:font>
  <w:font w:name="Cambria">
    <w:panose1 w:val="02040503050406030204"/>
    <w:charset w:val="00"/>
    <w:family w:val="roman"/>
    <w:pitch w:val="variable"/>
    <w:sig w:usb0="E00006FF" w:usb1="420024FF" w:usb2="02000000" w:usb3="00000000" w:csb0="0000019F" w:csb1="00000000"/>
    <w:embedRegular r:id="rId7" w:fontKey="{455ED53C-E289-A048-BC1A-C31312B630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389"/>
    <w:rsid w:val="00355389"/>
    <w:rsid w:val="00807429"/>
    <w:rsid w:val="00B80758"/>
    <w:rsid w:val="00EA4DDC"/>
    <w:rsid w:val="00F11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114A54A"/>
  <w15:docId w15:val="{03FD088F-3264-B048-85FE-3135B328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F11C6D"/>
    <w:pPr>
      <w:spacing w:before="100" w:beforeAutospacing="1" w:after="100" w:afterAutospacing="1" w:line="240" w:lineRule="auto"/>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54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Jia Thadani</cp:lastModifiedBy>
  <cp:revision>2</cp:revision>
  <dcterms:created xsi:type="dcterms:W3CDTF">2026-02-24T12:43:00Z</dcterms:created>
  <dcterms:modified xsi:type="dcterms:W3CDTF">2026-02-24T12:43:00Z</dcterms:modified>
</cp:coreProperties>
</file>