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4"/>
      </w:tblGrid>
      <w:tr w:rsidR="001564A4" w:rsidRPr="0050053A" w14:paraId="5C38377B" w14:textId="77777777" w:rsidTr="00787E8E">
        <w:trPr>
          <w:trHeight w:val="911"/>
          <w:jc w:val="center"/>
        </w:trPr>
        <w:tc>
          <w:tcPr>
            <w:tcW w:w="8654" w:type="dxa"/>
            <w:shd w:val="clear" w:color="auto" w:fill="auto"/>
          </w:tcPr>
          <w:p w14:paraId="5C44F357" w14:textId="6649D055" w:rsidR="001564A4" w:rsidRPr="00787E8E" w:rsidRDefault="00787E8E" w:rsidP="00787E8E">
            <w:pPr>
              <w:spacing w:before="240" w:after="240"/>
              <w:jc w:val="both"/>
              <w:rPr>
                <w:rFonts w:ascii="Arial" w:hAnsi="Arial" w:cs="Arial"/>
                <w:b/>
                <w:bCs/>
                <w:sz w:val="22"/>
                <w:szCs w:val="22"/>
              </w:rPr>
            </w:pPr>
            <w:r w:rsidRPr="00787E8E">
              <w:rPr>
                <w:rFonts w:ascii="Arial" w:hAnsi="Arial" w:cs="Arial"/>
                <w:b/>
                <w:bCs/>
                <w:sz w:val="22"/>
                <w:szCs w:val="22"/>
              </w:rPr>
              <w:t>Identifying opportunities for earlier diagnosis of high-risk COPD in Australia</w:t>
            </w:r>
          </w:p>
        </w:tc>
      </w:tr>
      <w:tr w:rsidR="001564A4" w:rsidRPr="0050053A" w14:paraId="0E2E035C" w14:textId="77777777" w:rsidTr="004D6B38">
        <w:trPr>
          <w:trHeight w:val="1634"/>
          <w:jc w:val="center"/>
        </w:trPr>
        <w:tc>
          <w:tcPr>
            <w:tcW w:w="8654" w:type="dxa"/>
            <w:shd w:val="clear" w:color="auto" w:fill="auto"/>
          </w:tcPr>
          <w:p w14:paraId="73B55295" w14:textId="66AFC764" w:rsidR="001564A4" w:rsidRPr="004453F6" w:rsidRDefault="002905DD" w:rsidP="000A28E2">
            <w:pPr>
              <w:spacing w:before="120" w:after="120"/>
              <w:rPr>
                <w:rFonts w:ascii="Arial" w:hAnsi="Arial" w:cs="Arial"/>
                <w:sz w:val="22"/>
                <w:szCs w:val="22"/>
                <w:lang w:eastAsia="en-GB"/>
              </w:rPr>
            </w:pPr>
            <w:r w:rsidRPr="004453F6">
              <w:rPr>
                <w:rFonts w:ascii="Arial" w:hAnsi="Arial" w:cs="Arial"/>
                <w:sz w:val="22"/>
                <w:szCs w:val="22"/>
                <w:lang w:eastAsia="en-GB"/>
              </w:rPr>
              <w:t>David Price</w:t>
            </w:r>
            <w:r w:rsidRPr="004453F6">
              <w:rPr>
                <w:rFonts w:ascii="Arial" w:hAnsi="Arial" w:cs="Arial"/>
                <w:sz w:val="22"/>
                <w:szCs w:val="22"/>
                <w:vertAlign w:val="superscript"/>
                <w:lang w:eastAsia="en-GB"/>
              </w:rPr>
              <w:t>1</w:t>
            </w:r>
            <w:r w:rsidR="00C1622D">
              <w:rPr>
                <w:rFonts w:ascii="Arial" w:hAnsi="Arial" w:cs="Arial"/>
                <w:sz w:val="22"/>
                <w:szCs w:val="22"/>
                <w:vertAlign w:val="superscript"/>
                <w:lang w:eastAsia="en-GB"/>
              </w:rPr>
              <w:t>-3</w:t>
            </w:r>
            <w:r>
              <w:rPr>
                <w:rFonts w:ascii="Arial" w:hAnsi="Arial" w:cs="Arial"/>
                <w:sz w:val="22"/>
                <w:szCs w:val="22"/>
                <w:lang w:eastAsia="en-GB"/>
              </w:rPr>
              <w:t xml:space="preserve">, </w:t>
            </w:r>
            <w:r w:rsidR="004453F6" w:rsidRPr="004453F6">
              <w:rPr>
                <w:rFonts w:ascii="Arial" w:hAnsi="Arial" w:cs="Arial"/>
                <w:sz w:val="22"/>
                <w:szCs w:val="22"/>
                <w:lang w:eastAsia="en-GB"/>
              </w:rPr>
              <w:t>Andrew P Dickens</w:t>
            </w:r>
            <w:r w:rsidR="004453F6" w:rsidRPr="004453F6">
              <w:rPr>
                <w:rFonts w:ascii="Arial" w:hAnsi="Arial" w:cs="Arial"/>
                <w:sz w:val="22"/>
                <w:szCs w:val="22"/>
                <w:vertAlign w:val="superscript"/>
                <w:lang w:eastAsia="en-GB"/>
              </w:rPr>
              <w:t>1</w:t>
            </w:r>
            <w:r w:rsidR="004453F6" w:rsidRPr="004453F6">
              <w:rPr>
                <w:rFonts w:ascii="Arial" w:hAnsi="Arial" w:cs="Arial"/>
                <w:sz w:val="22"/>
                <w:szCs w:val="22"/>
                <w:lang w:eastAsia="en-GB"/>
              </w:rPr>
              <w:t>, Christine Jenkins</w:t>
            </w:r>
            <w:r w:rsidR="00C1622D">
              <w:rPr>
                <w:rFonts w:ascii="Arial" w:hAnsi="Arial" w:cs="Arial"/>
                <w:sz w:val="22"/>
                <w:szCs w:val="22"/>
                <w:vertAlign w:val="superscript"/>
                <w:lang w:eastAsia="en-GB"/>
              </w:rPr>
              <w:t>4</w:t>
            </w:r>
            <w:r w:rsidR="004453F6" w:rsidRPr="004453F6">
              <w:rPr>
                <w:rFonts w:ascii="Arial" w:hAnsi="Arial" w:cs="Arial"/>
                <w:sz w:val="22"/>
                <w:szCs w:val="22"/>
                <w:lang w:eastAsia="en-GB"/>
              </w:rPr>
              <w:t>, Alexander Evans</w:t>
            </w:r>
            <w:r w:rsidR="004453F6" w:rsidRPr="004453F6">
              <w:rPr>
                <w:rFonts w:ascii="Arial" w:hAnsi="Arial" w:cs="Arial"/>
                <w:sz w:val="22"/>
                <w:szCs w:val="22"/>
                <w:vertAlign w:val="superscript"/>
                <w:lang w:eastAsia="en-GB"/>
              </w:rPr>
              <w:t>1</w:t>
            </w:r>
            <w:r w:rsidR="004453F6" w:rsidRPr="004453F6">
              <w:rPr>
                <w:rFonts w:ascii="Arial" w:hAnsi="Arial" w:cs="Arial"/>
                <w:sz w:val="22"/>
                <w:szCs w:val="22"/>
                <w:lang w:eastAsia="en-GB"/>
              </w:rPr>
              <w:t>, Kerry Hancock</w:t>
            </w:r>
            <w:r w:rsidR="00C1622D">
              <w:rPr>
                <w:rFonts w:ascii="Arial" w:hAnsi="Arial" w:cs="Arial"/>
                <w:sz w:val="22"/>
                <w:szCs w:val="22"/>
                <w:vertAlign w:val="superscript"/>
                <w:lang w:eastAsia="en-GB"/>
              </w:rPr>
              <w:t>5</w:t>
            </w:r>
            <w:r w:rsidR="004453F6" w:rsidRPr="004453F6">
              <w:rPr>
                <w:rFonts w:ascii="Arial" w:hAnsi="Arial" w:cs="Arial"/>
                <w:sz w:val="22"/>
                <w:szCs w:val="22"/>
                <w:lang w:eastAsia="en-GB"/>
              </w:rPr>
              <w:t>, Anita Sharma</w:t>
            </w:r>
            <w:r w:rsidR="00C1622D">
              <w:rPr>
                <w:rFonts w:ascii="Arial" w:hAnsi="Arial" w:cs="Arial"/>
                <w:sz w:val="22"/>
                <w:szCs w:val="22"/>
                <w:vertAlign w:val="superscript"/>
                <w:lang w:eastAsia="en-GB"/>
              </w:rPr>
              <w:t>6</w:t>
            </w:r>
            <w:r w:rsidR="004453F6" w:rsidRPr="004453F6">
              <w:rPr>
                <w:rFonts w:ascii="Arial" w:hAnsi="Arial" w:cs="Arial"/>
                <w:sz w:val="22"/>
                <w:szCs w:val="22"/>
                <w:lang w:eastAsia="en-GB"/>
              </w:rPr>
              <w:t>, Belinda Cochrane</w:t>
            </w:r>
            <w:r w:rsidR="00335D38">
              <w:rPr>
                <w:rFonts w:ascii="Arial" w:hAnsi="Arial" w:cs="Arial"/>
                <w:sz w:val="22"/>
                <w:szCs w:val="22"/>
                <w:vertAlign w:val="superscript"/>
                <w:lang w:eastAsia="en-GB"/>
              </w:rPr>
              <w:t>7,8</w:t>
            </w:r>
            <w:r w:rsidR="004453F6" w:rsidRPr="004453F6">
              <w:rPr>
                <w:rFonts w:ascii="Arial" w:hAnsi="Arial" w:cs="Arial"/>
                <w:sz w:val="22"/>
                <w:szCs w:val="22"/>
                <w:lang w:eastAsia="en-GB"/>
              </w:rPr>
              <w:t>, Paul Leong</w:t>
            </w:r>
            <w:r w:rsidR="00335D38">
              <w:rPr>
                <w:rFonts w:ascii="Arial" w:hAnsi="Arial" w:cs="Arial"/>
                <w:sz w:val="22"/>
                <w:szCs w:val="22"/>
                <w:vertAlign w:val="superscript"/>
                <w:lang w:eastAsia="en-GB"/>
              </w:rPr>
              <w:t>9,10</w:t>
            </w:r>
            <w:r w:rsidR="004453F6" w:rsidRPr="004453F6">
              <w:rPr>
                <w:rFonts w:ascii="Arial" w:hAnsi="Arial" w:cs="Arial"/>
                <w:sz w:val="22"/>
                <w:szCs w:val="22"/>
                <w:lang w:eastAsia="en-GB"/>
              </w:rPr>
              <w:t>, Brian Ko</w:t>
            </w:r>
            <w:r w:rsidR="00335D38">
              <w:rPr>
                <w:rFonts w:ascii="Arial" w:hAnsi="Arial" w:cs="Arial"/>
                <w:sz w:val="22"/>
                <w:szCs w:val="22"/>
                <w:vertAlign w:val="superscript"/>
                <w:lang w:eastAsia="en-GB"/>
              </w:rPr>
              <w:t>11</w:t>
            </w:r>
            <w:r w:rsidR="004453F6" w:rsidRPr="004453F6">
              <w:rPr>
                <w:rFonts w:ascii="Arial" w:hAnsi="Arial" w:cs="Arial"/>
                <w:sz w:val="22"/>
                <w:szCs w:val="22"/>
                <w:lang w:eastAsia="en-GB"/>
              </w:rPr>
              <w:t>, Florian Heraud</w:t>
            </w:r>
            <w:r w:rsidR="004453F6" w:rsidRPr="004453F6">
              <w:rPr>
                <w:rFonts w:ascii="Arial" w:hAnsi="Arial" w:cs="Arial"/>
                <w:sz w:val="22"/>
                <w:szCs w:val="22"/>
                <w:vertAlign w:val="superscript"/>
                <w:lang w:eastAsia="en-GB"/>
              </w:rPr>
              <w:t>1</w:t>
            </w:r>
            <w:r w:rsidR="00335D38">
              <w:rPr>
                <w:rFonts w:ascii="Arial" w:hAnsi="Arial" w:cs="Arial"/>
                <w:sz w:val="22"/>
                <w:szCs w:val="22"/>
                <w:vertAlign w:val="superscript"/>
                <w:lang w:eastAsia="en-GB"/>
              </w:rPr>
              <w:t>2</w:t>
            </w:r>
            <w:r w:rsidR="004453F6" w:rsidRPr="004453F6">
              <w:rPr>
                <w:rFonts w:ascii="Arial" w:hAnsi="Arial" w:cs="Arial"/>
                <w:sz w:val="22"/>
                <w:szCs w:val="22"/>
                <w:lang w:eastAsia="en-GB"/>
              </w:rPr>
              <w:t>, Porsche Le Cheng</w:t>
            </w:r>
            <w:r w:rsidR="004453F6" w:rsidRPr="004453F6">
              <w:rPr>
                <w:rFonts w:ascii="Arial" w:hAnsi="Arial" w:cs="Arial"/>
                <w:sz w:val="22"/>
                <w:szCs w:val="22"/>
                <w:vertAlign w:val="superscript"/>
                <w:lang w:eastAsia="en-GB"/>
              </w:rPr>
              <w:t>1</w:t>
            </w:r>
            <w:r w:rsidR="004453F6" w:rsidRPr="004453F6">
              <w:rPr>
                <w:rFonts w:ascii="Arial" w:hAnsi="Arial" w:cs="Arial"/>
                <w:sz w:val="22"/>
                <w:szCs w:val="22"/>
                <w:lang w:eastAsia="en-GB"/>
              </w:rPr>
              <w:t>, Alexander Roussos</w:t>
            </w:r>
            <w:r w:rsidR="004453F6" w:rsidRPr="004453F6">
              <w:rPr>
                <w:rFonts w:ascii="Arial" w:hAnsi="Arial" w:cs="Arial"/>
                <w:sz w:val="22"/>
                <w:szCs w:val="22"/>
                <w:vertAlign w:val="superscript"/>
                <w:lang w:eastAsia="en-GB"/>
              </w:rPr>
              <w:t>1</w:t>
            </w:r>
            <w:r w:rsidR="004453F6" w:rsidRPr="004453F6">
              <w:rPr>
                <w:rFonts w:ascii="Arial" w:hAnsi="Arial" w:cs="Arial"/>
                <w:sz w:val="22"/>
                <w:szCs w:val="22"/>
                <w:lang w:eastAsia="en-GB"/>
              </w:rPr>
              <w:t>, Sinthia Bosnic-Anticevich</w:t>
            </w:r>
            <w:r w:rsidR="00345E91">
              <w:rPr>
                <w:rFonts w:ascii="Arial" w:hAnsi="Arial" w:cs="Arial"/>
                <w:sz w:val="22"/>
                <w:szCs w:val="22"/>
                <w:vertAlign w:val="superscript"/>
                <w:lang w:eastAsia="en-GB"/>
              </w:rPr>
              <w:t>13,14</w:t>
            </w:r>
            <w:r w:rsidR="004453F6" w:rsidRPr="004453F6">
              <w:rPr>
                <w:rFonts w:ascii="Arial" w:hAnsi="Arial" w:cs="Arial"/>
                <w:sz w:val="22"/>
                <w:szCs w:val="22"/>
                <w:lang w:eastAsia="en-GB"/>
              </w:rPr>
              <w:t>, Fabio Botini</w:t>
            </w:r>
            <w:r w:rsidR="004453F6" w:rsidRPr="004453F6">
              <w:rPr>
                <w:rFonts w:ascii="Arial" w:hAnsi="Arial" w:cs="Arial"/>
                <w:sz w:val="22"/>
                <w:szCs w:val="22"/>
                <w:vertAlign w:val="superscript"/>
                <w:lang w:eastAsia="en-GB"/>
              </w:rPr>
              <w:t>1</w:t>
            </w:r>
            <w:r w:rsidR="004453F6" w:rsidRPr="004453F6">
              <w:rPr>
                <w:rFonts w:ascii="Arial" w:hAnsi="Arial" w:cs="Arial"/>
                <w:sz w:val="22"/>
                <w:szCs w:val="22"/>
                <w:lang w:eastAsia="en-GB"/>
              </w:rPr>
              <w:t>, Victoria Carter</w:t>
            </w:r>
            <w:r w:rsidR="004453F6" w:rsidRPr="004453F6">
              <w:rPr>
                <w:rFonts w:ascii="Arial" w:hAnsi="Arial" w:cs="Arial"/>
                <w:sz w:val="22"/>
                <w:szCs w:val="22"/>
                <w:vertAlign w:val="superscript"/>
                <w:lang w:eastAsia="en-GB"/>
              </w:rPr>
              <w:t>1</w:t>
            </w:r>
            <w:r w:rsidR="004453F6" w:rsidRPr="004453F6">
              <w:rPr>
                <w:rFonts w:ascii="Arial" w:hAnsi="Arial" w:cs="Arial"/>
                <w:sz w:val="22"/>
                <w:szCs w:val="22"/>
                <w:lang w:eastAsia="en-GB"/>
              </w:rPr>
              <w:t>, Angelina Catanzariti</w:t>
            </w:r>
            <w:r w:rsidR="004453F6" w:rsidRPr="004453F6">
              <w:rPr>
                <w:rFonts w:ascii="Arial" w:hAnsi="Arial" w:cs="Arial"/>
                <w:sz w:val="22"/>
                <w:szCs w:val="22"/>
                <w:vertAlign w:val="superscript"/>
                <w:lang w:eastAsia="en-GB"/>
              </w:rPr>
              <w:t>1</w:t>
            </w:r>
            <w:r w:rsidR="00335D38">
              <w:rPr>
                <w:rFonts w:ascii="Arial" w:hAnsi="Arial" w:cs="Arial"/>
                <w:sz w:val="22"/>
                <w:szCs w:val="22"/>
                <w:vertAlign w:val="superscript"/>
                <w:lang w:eastAsia="en-GB"/>
              </w:rPr>
              <w:t>5</w:t>
            </w:r>
            <w:r w:rsidR="004453F6" w:rsidRPr="004453F6">
              <w:rPr>
                <w:rFonts w:ascii="Arial" w:hAnsi="Arial" w:cs="Arial"/>
                <w:sz w:val="22"/>
                <w:szCs w:val="22"/>
                <w:lang w:eastAsia="en-GB"/>
              </w:rPr>
              <w:t>, Clare Ghisla</w:t>
            </w:r>
            <w:r w:rsidR="004453F6" w:rsidRPr="004453F6">
              <w:rPr>
                <w:rFonts w:ascii="Arial" w:hAnsi="Arial" w:cs="Arial"/>
                <w:sz w:val="22"/>
                <w:szCs w:val="22"/>
                <w:vertAlign w:val="superscript"/>
                <w:lang w:eastAsia="en-GB"/>
              </w:rPr>
              <w:t>1</w:t>
            </w:r>
            <w:r w:rsidR="00335D38">
              <w:rPr>
                <w:rFonts w:ascii="Arial" w:hAnsi="Arial" w:cs="Arial"/>
                <w:sz w:val="22"/>
                <w:szCs w:val="22"/>
                <w:vertAlign w:val="superscript"/>
                <w:lang w:eastAsia="en-GB"/>
              </w:rPr>
              <w:t>5</w:t>
            </w:r>
            <w:r w:rsidR="004453F6" w:rsidRPr="004453F6">
              <w:rPr>
                <w:rFonts w:ascii="Arial" w:hAnsi="Arial" w:cs="Arial"/>
                <w:sz w:val="22"/>
                <w:szCs w:val="22"/>
                <w:lang w:eastAsia="en-GB"/>
              </w:rPr>
              <w:t>, Thao Le</w:t>
            </w:r>
            <w:r w:rsidR="00335D38">
              <w:rPr>
                <w:rFonts w:ascii="Arial" w:hAnsi="Arial" w:cs="Arial"/>
                <w:sz w:val="22"/>
                <w:szCs w:val="22"/>
                <w:vertAlign w:val="superscript"/>
                <w:lang w:eastAsia="en-GB"/>
              </w:rPr>
              <w:t>16</w:t>
            </w:r>
            <w:r w:rsidR="004453F6" w:rsidRPr="004453F6">
              <w:rPr>
                <w:rFonts w:ascii="Arial" w:hAnsi="Arial" w:cs="Arial"/>
                <w:sz w:val="22"/>
                <w:szCs w:val="22"/>
                <w:lang w:eastAsia="en-GB"/>
              </w:rPr>
              <w:t>, Chantal Le Lievre</w:t>
            </w:r>
            <w:r w:rsidR="004453F6" w:rsidRPr="004453F6">
              <w:rPr>
                <w:rFonts w:ascii="Arial" w:hAnsi="Arial" w:cs="Arial"/>
                <w:sz w:val="22"/>
                <w:szCs w:val="22"/>
                <w:vertAlign w:val="superscript"/>
                <w:lang w:eastAsia="en-GB"/>
              </w:rPr>
              <w:t>1</w:t>
            </w:r>
            <w:r w:rsidR="004453F6" w:rsidRPr="004453F6">
              <w:rPr>
                <w:rFonts w:ascii="Arial" w:hAnsi="Arial" w:cs="Arial"/>
                <w:sz w:val="22"/>
                <w:szCs w:val="22"/>
                <w:lang w:eastAsia="en-GB"/>
              </w:rPr>
              <w:t>, Ruth Murray</w:t>
            </w:r>
            <w:r w:rsidR="004453F6" w:rsidRPr="004453F6">
              <w:rPr>
                <w:rFonts w:ascii="Arial" w:hAnsi="Arial" w:cs="Arial"/>
                <w:sz w:val="22"/>
                <w:szCs w:val="22"/>
                <w:vertAlign w:val="superscript"/>
                <w:lang w:eastAsia="en-GB"/>
              </w:rPr>
              <w:t>1</w:t>
            </w:r>
            <w:r w:rsidR="004453F6" w:rsidRPr="004453F6">
              <w:rPr>
                <w:rFonts w:ascii="Arial" w:hAnsi="Arial" w:cs="Arial"/>
                <w:sz w:val="22"/>
                <w:szCs w:val="22"/>
                <w:lang w:eastAsia="en-GB"/>
              </w:rPr>
              <w:t>, Kanchanam</w:t>
            </w:r>
            <w:r w:rsidR="00DB3FBD">
              <w:rPr>
                <w:rFonts w:ascii="Arial" w:hAnsi="Arial" w:cs="Arial"/>
                <w:sz w:val="22"/>
                <w:szCs w:val="22"/>
                <w:lang w:eastAsia="en-GB"/>
              </w:rPr>
              <w:t>a</w:t>
            </w:r>
            <w:r w:rsidR="004453F6" w:rsidRPr="004453F6">
              <w:rPr>
                <w:rFonts w:ascii="Arial" w:hAnsi="Arial" w:cs="Arial"/>
                <w:sz w:val="22"/>
                <w:szCs w:val="22"/>
                <w:lang w:eastAsia="en-GB"/>
              </w:rPr>
              <w:t>la Ranasinghe</w:t>
            </w:r>
            <w:r w:rsidR="00335D38">
              <w:rPr>
                <w:rFonts w:ascii="Arial" w:hAnsi="Arial" w:cs="Arial"/>
                <w:sz w:val="22"/>
                <w:szCs w:val="22"/>
                <w:vertAlign w:val="superscript"/>
                <w:lang w:eastAsia="en-GB"/>
              </w:rPr>
              <w:t>17,18</w:t>
            </w:r>
            <w:r w:rsidR="004453F6" w:rsidRPr="004453F6">
              <w:rPr>
                <w:rFonts w:ascii="Arial" w:hAnsi="Arial" w:cs="Arial"/>
                <w:sz w:val="22"/>
                <w:szCs w:val="22"/>
                <w:lang w:eastAsia="en-GB"/>
              </w:rPr>
              <w:t>, Deb Stewart</w:t>
            </w:r>
            <w:r w:rsidR="00212961">
              <w:rPr>
                <w:rFonts w:ascii="Arial" w:hAnsi="Arial" w:cs="Arial"/>
                <w:sz w:val="22"/>
                <w:szCs w:val="22"/>
                <w:vertAlign w:val="superscript"/>
                <w:lang w:eastAsia="en-GB"/>
              </w:rPr>
              <w:t>19</w:t>
            </w:r>
            <w:r w:rsidR="004453F6" w:rsidRPr="004453F6">
              <w:rPr>
                <w:rFonts w:ascii="Arial" w:hAnsi="Arial" w:cs="Arial"/>
                <w:sz w:val="22"/>
                <w:szCs w:val="22"/>
                <w:lang w:eastAsia="en-GB"/>
              </w:rPr>
              <w:t>, Marije van Melle</w:t>
            </w:r>
            <w:r w:rsidR="00210468">
              <w:rPr>
                <w:rFonts w:ascii="Arial" w:hAnsi="Arial" w:cs="Arial"/>
                <w:sz w:val="22"/>
                <w:szCs w:val="22"/>
                <w:vertAlign w:val="superscript"/>
                <w:lang w:eastAsia="en-GB"/>
              </w:rPr>
              <w:t>20</w:t>
            </w:r>
            <w:r w:rsidR="004453F6" w:rsidRPr="004453F6">
              <w:rPr>
                <w:rFonts w:ascii="Arial" w:hAnsi="Arial" w:cs="Arial"/>
                <w:sz w:val="22"/>
                <w:szCs w:val="22"/>
                <w:lang w:eastAsia="en-GB"/>
              </w:rPr>
              <w:t>, Rebecca Vella</w:t>
            </w:r>
            <w:r w:rsidR="004453F6" w:rsidRPr="004453F6">
              <w:rPr>
                <w:rFonts w:ascii="Arial" w:hAnsi="Arial" w:cs="Arial"/>
                <w:sz w:val="22"/>
                <w:szCs w:val="22"/>
                <w:vertAlign w:val="superscript"/>
                <w:lang w:eastAsia="en-GB"/>
              </w:rPr>
              <w:t>1</w:t>
            </w:r>
            <w:r w:rsidR="004453F6" w:rsidRPr="004453F6">
              <w:rPr>
                <w:rFonts w:ascii="Arial" w:hAnsi="Arial" w:cs="Arial"/>
                <w:sz w:val="22"/>
                <w:szCs w:val="22"/>
                <w:lang w:eastAsia="en-GB"/>
              </w:rPr>
              <w:t>,</w:t>
            </w:r>
            <w:r w:rsidR="00210468">
              <w:rPr>
                <w:rFonts w:ascii="Arial" w:hAnsi="Arial" w:cs="Arial"/>
                <w:sz w:val="22"/>
                <w:szCs w:val="22"/>
                <w:lang w:eastAsia="en-GB"/>
              </w:rPr>
              <w:t xml:space="preserve"> and</w:t>
            </w:r>
            <w:r w:rsidR="004453F6" w:rsidRPr="004453F6">
              <w:rPr>
                <w:rFonts w:ascii="Arial" w:hAnsi="Arial" w:cs="Arial"/>
                <w:sz w:val="22"/>
                <w:szCs w:val="22"/>
                <w:lang w:eastAsia="en-GB"/>
              </w:rPr>
              <w:t xml:space="preserve"> Russell Wiseman</w:t>
            </w:r>
            <w:r w:rsidR="00210468">
              <w:rPr>
                <w:rFonts w:ascii="Arial" w:hAnsi="Arial" w:cs="Arial"/>
                <w:sz w:val="22"/>
                <w:szCs w:val="22"/>
                <w:vertAlign w:val="superscript"/>
                <w:lang w:eastAsia="en-GB"/>
              </w:rPr>
              <w:t>21</w:t>
            </w:r>
            <w:r w:rsidR="004453F6" w:rsidRPr="004453F6">
              <w:rPr>
                <w:rFonts w:ascii="Arial" w:hAnsi="Arial" w:cs="Arial"/>
                <w:sz w:val="22"/>
                <w:szCs w:val="22"/>
                <w:lang w:eastAsia="en-GB"/>
              </w:rPr>
              <w:t xml:space="preserve"> </w:t>
            </w:r>
          </w:p>
        </w:tc>
      </w:tr>
      <w:tr w:rsidR="001564A4" w:rsidRPr="0050053A" w14:paraId="385A19D9" w14:textId="77777777" w:rsidTr="00E96414">
        <w:trPr>
          <w:trHeight w:val="4252"/>
          <w:jc w:val="center"/>
        </w:trPr>
        <w:tc>
          <w:tcPr>
            <w:tcW w:w="8654" w:type="dxa"/>
            <w:shd w:val="clear" w:color="auto" w:fill="auto"/>
          </w:tcPr>
          <w:p w14:paraId="6A357C3B" w14:textId="77777777" w:rsidR="000A1CE1" w:rsidRDefault="000A1CE1" w:rsidP="000A1CE1">
            <w:pPr>
              <w:spacing w:before="120" w:after="120"/>
              <w:rPr>
                <w:rFonts w:ascii="Arial" w:hAnsi="Arial" w:cs="Arial"/>
                <w:iCs/>
                <w:sz w:val="22"/>
                <w:szCs w:val="22"/>
                <w:lang w:eastAsia="en-GB"/>
              </w:rPr>
            </w:pPr>
            <w:r w:rsidRPr="000A1CE1">
              <w:rPr>
                <w:rFonts w:ascii="Arial" w:hAnsi="Arial" w:cs="Arial"/>
                <w:iCs/>
                <w:sz w:val="22"/>
                <w:szCs w:val="22"/>
                <w:vertAlign w:val="superscript"/>
                <w:lang w:eastAsia="en-GB"/>
              </w:rPr>
              <w:t>1</w:t>
            </w:r>
            <w:r w:rsidRPr="000A1CE1">
              <w:rPr>
                <w:rFonts w:ascii="Arial" w:hAnsi="Arial" w:cs="Arial"/>
                <w:iCs/>
                <w:sz w:val="22"/>
                <w:szCs w:val="22"/>
                <w:lang w:eastAsia="en-GB"/>
              </w:rPr>
              <w:t>Optimum Patient Care Australia, Australia,</w:t>
            </w:r>
          </w:p>
          <w:p w14:paraId="681D6505" w14:textId="32C1F033" w:rsidR="0040598D" w:rsidRDefault="0040598D" w:rsidP="000A1CE1">
            <w:pPr>
              <w:spacing w:before="120" w:after="120"/>
              <w:rPr>
                <w:rFonts w:ascii="Arial" w:hAnsi="Arial" w:cs="Arial"/>
                <w:iCs/>
                <w:sz w:val="22"/>
                <w:szCs w:val="22"/>
                <w:lang w:eastAsia="en-GB"/>
              </w:rPr>
            </w:pPr>
            <w:r w:rsidRPr="000A1CE1">
              <w:rPr>
                <w:rFonts w:ascii="Arial" w:hAnsi="Arial" w:cs="Arial"/>
                <w:iCs/>
                <w:sz w:val="22"/>
                <w:szCs w:val="22"/>
                <w:vertAlign w:val="superscript"/>
                <w:lang w:eastAsia="en-GB"/>
              </w:rPr>
              <w:t>2</w:t>
            </w:r>
            <w:r w:rsidRPr="000A1CE1">
              <w:rPr>
                <w:rFonts w:ascii="Arial" w:hAnsi="Arial" w:cs="Arial"/>
                <w:iCs/>
                <w:sz w:val="22"/>
                <w:szCs w:val="22"/>
                <w:lang w:eastAsia="en-GB"/>
              </w:rPr>
              <w:t>Centre of Academic Primary Care, Division of Applied Health Sciences, University of Aberdeen, Aberdeen United Kingdom</w:t>
            </w:r>
          </w:p>
          <w:p w14:paraId="33B99B72" w14:textId="28578827" w:rsidR="002760FD" w:rsidRPr="002865A0" w:rsidRDefault="00C1622D" w:rsidP="000A1CE1">
            <w:pPr>
              <w:spacing w:before="120" w:after="120"/>
              <w:rPr>
                <w:rFonts w:ascii="Arial" w:hAnsi="Arial" w:cs="Arial"/>
                <w:iCs/>
                <w:sz w:val="22"/>
                <w:szCs w:val="22"/>
                <w:lang w:eastAsia="en-GB"/>
              </w:rPr>
            </w:pPr>
            <w:r>
              <w:rPr>
                <w:rFonts w:ascii="Arial" w:hAnsi="Arial" w:cs="Arial"/>
                <w:iCs/>
                <w:sz w:val="22"/>
                <w:szCs w:val="22"/>
                <w:vertAlign w:val="superscript"/>
                <w:lang w:eastAsia="en-GB"/>
              </w:rPr>
              <w:t>3</w:t>
            </w:r>
            <w:r w:rsidR="002760FD" w:rsidRPr="000A1CE1">
              <w:rPr>
                <w:rFonts w:ascii="Arial" w:hAnsi="Arial" w:cs="Arial"/>
                <w:iCs/>
                <w:sz w:val="22"/>
                <w:szCs w:val="22"/>
                <w:lang w:eastAsia="en-GB"/>
              </w:rPr>
              <w:t xml:space="preserve">Observational and Pragmatic Research Institute, Singapore, </w:t>
            </w:r>
          </w:p>
          <w:p w14:paraId="10D140B2" w14:textId="1FE2BD22" w:rsidR="000A1CE1" w:rsidRPr="002865A0" w:rsidRDefault="00C1622D" w:rsidP="000A1CE1">
            <w:pPr>
              <w:spacing w:before="120" w:after="120"/>
              <w:rPr>
                <w:rFonts w:ascii="Arial" w:hAnsi="Arial" w:cs="Arial"/>
                <w:iCs/>
                <w:sz w:val="22"/>
                <w:szCs w:val="22"/>
                <w:vertAlign w:val="superscript"/>
                <w:lang w:eastAsia="en-GB"/>
              </w:rPr>
            </w:pPr>
            <w:r>
              <w:rPr>
                <w:rFonts w:ascii="Arial" w:hAnsi="Arial" w:cs="Arial"/>
                <w:iCs/>
                <w:sz w:val="22"/>
                <w:szCs w:val="22"/>
                <w:vertAlign w:val="superscript"/>
                <w:lang w:eastAsia="en-GB"/>
              </w:rPr>
              <w:t>4</w:t>
            </w:r>
            <w:r w:rsidR="000A1CE1" w:rsidRPr="000A1CE1">
              <w:rPr>
                <w:rFonts w:ascii="Arial" w:hAnsi="Arial" w:cs="Arial"/>
                <w:iCs/>
                <w:sz w:val="22"/>
                <w:szCs w:val="22"/>
                <w:lang w:eastAsia="en-GB"/>
              </w:rPr>
              <w:t>Professor Respiratory Medicine, UNSW, Sydney, Head Respiratory Group, George Institute, Australia,</w:t>
            </w:r>
          </w:p>
          <w:p w14:paraId="444D52AB" w14:textId="1FB93995" w:rsidR="000A1CE1" w:rsidRPr="002865A0" w:rsidRDefault="00C1622D" w:rsidP="000A1CE1">
            <w:pPr>
              <w:spacing w:before="120" w:after="120"/>
              <w:rPr>
                <w:rFonts w:ascii="Arial" w:hAnsi="Arial" w:cs="Arial"/>
                <w:iCs/>
                <w:sz w:val="22"/>
                <w:szCs w:val="22"/>
                <w:vertAlign w:val="superscript"/>
                <w:lang w:eastAsia="en-GB"/>
              </w:rPr>
            </w:pPr>
            <w:r>
              <w:rPr>
                <w:rFonts w:ascii="Arial" w:hAnsi="Arial" w:cs="Arial"/>
                <w:iCs/>
                <w:sz w:val="22"/>
                <w:szCs w:val="22"/>
                <w:vertAlign w:val="superscript"/>
                <w:lang w:eastAsia="en-GB"/>
              </w:rPr>
              <w:t>5</w:t>
            </w:r>
            <w:r w:rsidR="000A1CE1" w:rsidRPr="000A1CE1">
              <w:rPr>
                <w:rFonts w:ascii="Arial" w:hAnsi="Arial" w:cs="Arial"/>
                <w:iCs/>
                <w:sz w:val="22"/>
                <w:szCs w:val="22"/>
                <w:lang w:eastAsia="en-GB"/>
              </w:rPr>
              <w:t>Chandlers Hill Surgery, Happy Valley SA 5159, Australia,</w:t>
            </w:r>
          </w:p>
          <w:p w14:paraId="127AE4E1" w14:textId="22BBF52B" w:rsidR="000A1CE1" w:rsidRPr="002865A0" w:rsidRDefault="00C1622D" w:rsidP="000A1CE1">
            <w:pPr>
              <w:spacing w:before="120" w:after="120"/>
              <w:rPr>
                <w:rFonts w:ascii="Arial" w:hAnsi="Arial" w:cs="Arial"/>
                <w:iCs/>
                <w:sz w:val="22"/>
                <w:szCs w:val="22"/>
                <w:lang w:eastAsia="en-GB"/>
              </w:rPr>
            </w:pPr>
            <w:r>
              <w:rPr>
                <w:rFonts w:ascii="Arial" w:hAnsi="Arial" w:cs="Arial"/>
                <w:iCs/>
                <w:sz w:val="22"/>
                <w:szCs w:val="22"/>
                <w:vertAlign w:val="superscript"/>
                <w:lang w:eastAsia="en-GB"/>
              </w:rPr>
              <w:t>6</w:t>
            </w:r>
            <w:r w:rsidR="000A1CE1" w:rsidRPr="000A1CE1">
              <w:rPr>
                <w:rFonts w:ascii="Arial" w:hAnsi="Arial" w:cs="Arial"/>
                <w:iCs/>
                <w:sz w:val="22"/>
                <w:szCs w:val="22"/>
                <w:lang w:eastAsia="en-GB"/>
              </w:rPr>
              <w:t xml:space="preserve">Platinum Medical Centre, Chermside QLD 4032, Australia, </w:t>
            </w:r>
          </w:p>
          <w:p w14:paraId="37C4913B" w14:textId="77435DC1" w:rsidR="000A1CE1" w:rsidRPr="002865A0" w:rsidRDefault="00335D38" w:rsidP="000A1CE1">
            <w:pPr>
              <w:spacing w:before="120" w:after="120"/>
              <w:rPr>
                <w:rFonts w:ascii="Arial" w:hAnsi="Arial" w:cs="Arial"/>
                <w:iCs/>
                <w:sz w:val="22"/>
                <w:szCs w:val="22"/>
                <w:lang w:eastAsia="en-GB"/>
              </w:rPr>
            </w:pPr>
            <w:r>
              <w:rPr>
                <w:rFonts w:ascii="Arial" w:hAnsi="Arial" w:cs="Arial"/>
                <w:iCs/>
                <w:sz w:val="22"/>
                <w:szCs w:val="22"/>
                <w:vertAlign w:val="superscript"/>
                <w:lang w:eastAsia="en-GB"/>
              </w:rPr>
              <w:t>7</w:t>
            </w:r>
            <w:r w:rsidR="000A1CE1" w:rsidRPr="000A1CE1">
              <w:rPr>
                <w:rFonts w:ascii="Arial" w:hAnsi="Arial" w:cs="Arial"/>
                <w:iCs/>
                <w:sz w:val="22"/>
                <w:szCs w:val="22"/>
                <w:lang w:eastAsia="en-GB"/>
              </w:rPr>
              <w:t xml:space="preserve">Senior Staff Specialist, Department of Respiratory and Sleep Medicine, Campbelltown Hospital (SWSLHD), Australia, </w:t>
            </w:r>
          </w:p>
          <w:p w14:paraId="1FAAC413" w14:textId="76785B32" w:rsidR="00DA2C18" w:rsidRPr="002865A0" w:rsidRDefault="00335D38" w:rsidP="000A1CE1">
            <w:pPr>
              <w:spacing w:before="120" w:after="120"/>
              <w:rPr>
                <w:rFonts w:ascii="Arial" w:hAnsi="Arial" w:cs="Arial"/>
                <w:iCs/>
                <w:sz w:val="22"/>
                <w:szCs w:val="22"/>
                <w:lang w:eastAsia="en-GB"/>
              </w:rPr>
            </w:pPr>
            <w:r>
              <w:rPr>
                <w:rFonts w:ascii="Arial" w:hAnsi="Arial" w:cs="Arial"/>
                <w:iCs/>
                <w:sz w:val="22"/>
                <w:szCs w:val="22"/>
                <w:vertAlign w:val="superscript"/>
                <w:lang w:eastAsia="en-GB"/>
              </w:rPr>
              <w:t>8</w:t>
            </w:r>
            <w:r w:rsidR="000A1CE1" w:rsidRPr="000A1CE1">
              <w:rPr>
                <w:rFonts w:ascii="Arial" w:hAnsi="Arial" w:cs="Arial"/>
                <w:iCs/>
                <w:sz w:val="22"/>
                <w:szCs w:val="22"/>
                <w:lang w:eastAsia="en-GB"/>
              </w:rPr>
              <w:t xml:space="preserve">A/prof, School of Medicine, Western Sydney University, NSW Australia, </w:t>
            </w:r>
          </w:p>
          <w:p w14:paraId="6C53A3C2" w14:textId="582D2866" w:rsidR="00DA2C18" w:rsidRPr="002865A0" w:rsidRDefault="00335D38" w:rsidP="000A1CE1">
            <w:pPr>
              <w:spacing w:before="120" w:after="120"/>
              <w:rPr>
                <w:rFonts w:ascii="Arial" w:hAnsi="Arial" w:cs="Arial"/>
                <w:iCs/>
                <w:sz w:val="22"/>
                <w:szCs w:val="22"/>
                <w:lang w:eastAsia="en-GB"/>
              </w:rPr>
            </w:pPr>
            <w:r>
              <w:rPr>
                <w:rFonts w:ascii="Arial" w:hAnsi="Arial" w:cs="Arial"/>
                <w:iCs/>
                <w:sz w:val="22"/>
                <w:szCs w:val="22"/>
                <w:vertAlign w:val="superscript"/>
                <w:lang w:eastAsia="en-GB"/>
              </w:rPr>
              <w:t>9</w:t>
            </w:r>
            <w:r w:rsidR="000A1CE1" w:rsidRPr="000A1CE1">
              <w:rPr>
                <w:rFonts w:ascii="Arial" w:hAnsi="Arial" w:cs="Arial"/>
                <w:iCs/>
                <w:sz w:val="22"/>
                <w:szCs w:val="22"/>
                <w:lang w:eastAsia="en-GB"/>
              </w:rPr>
              <w:t xml:space="preserve">Monash Health, Clayton, Victoria, Australia, </w:t>
            </w:r>
          </w:p>
          <w:p w14:paraId="312E4A4D" w14:textId="6A535E45" w:rsidR="00DA2C18" w:rsidRPr="002865A0" w:rsidRDefault="00335D38" w:rsidP="000A1CE1">
            <w:pPr>
              <w:spacing w:before="120" w:after="120"/>
              <w:rPr>
                <w:rFonts w:ascii="Arial" w:hAnsi="Arial" w:cs="Arial"/>
                <w:iCs/>
                <w:sz w:val="22"/>
                <w:szCs w:val="22"/>
                <w:lang w:eastAsia="en-GB"/>
              </w:rPr>
            </w:pPr>
            <w:r>
              <w:rPr>
                <w:rFonts w:ascii="Arial" w:hAnsi="Arial" w:cs="Arial"/>
                <w:iCs/>
                <w:sz w:val="22"/>
                <w:szCs w:val="22"/>
                <w:vertAlign w:val="superscript"/>
                <w:lang w:eastAsia="en-GB"/>
              </w:rPr>
              <w:t>10</w:t>
            </w:r>
            <w:r w:rsidR="000A1CE1" w:rsidRPr="000A1CE1">
              <w:rPr>
                <w:rFonts w:ascii="Arial" w:hAnsi="Arial" w:cs="Arial"/>
                <w:iCs/>
                <w:sz w:val="22"/>
                <w:szCs w:val="22"/>
                <w:lang w:eastAsia="en-GB"/>
              </w:rPr>
              <w:t xml:space="preserve">School of Clinical Sciences at Monash Health, Monash University, Clayton, Victoria, Australia, </w:t>
            </w:r>
          </w:p>
          <w:p w14:paraId="05709BCD" w14:textId="0F033522" w:rsidR="00DA2C18" w:rsidRDefault="00335D38" w:rsidP="000A1CE1">
            <w:pPr>
              <w:spacing w:before="120" w:after="120"/>
              <w:rPr>
                <w:rFonts w:ascii="Arial" w:hAnsi="Arial" w:cs="Arial"/>
                <w:iCs/>
                <w:sz w:val="22"/>
                <w:szCs w:val="22"/>
                <w:lang w:eastAsia="en-GB"/>
              </w:rPr>
            </w:pPr>
            <w:r>
              <w:rPr>
                <w:rFonts w:ascii="Arial" w:hAnsi="Arial" w:cs="Arial"/>
                <w:iCs/>
                <w:sz w:val="22"/>
                <w:szCs w:val="22"/>
                <w:vertAlign w:val="superscript"/>
                <w:lang w:eastAsia="en-GB"/>
              </w:rPr>
              <w:t>11</w:t>
            </w:r>
            <w:r w:rsidR="000A1CE1" w:rsidRPr="000A1CE1">
              <w:rPr>
                <w:rFonts w:ascii="Arial" w:hAnsi="Arial" w:cs="Arial"/>
                <w:iCs/>
                <w:sz w:val="22"/>
                <w:szCs w:val="22"/>
                <w:lang w:eastAsia="en-GB"/>
              </w:rPr>
              <w:t>Monash Heart, Monash Cardiovascular Research Centre and Monash University, Monash Health, Clayton, Victoria, Australia,</w:t>
            </w:r>
          </w:p>
          <w:p w14:paraId="3806835F" w14:textId="1E6B24F8" w:rsidR="008E6094" w:rsidRPr="002865A0" w:rsidRDefault="00335D38" w:rsidP="000A1CE1">
            <w:pPr>
              <w:spacing w:before="120" w:after="120"/>
              <w:rPr>
                <w:rFonts w:ascii="Arial" w:hAnsi="Arial" w:cs="Arial"/>
                <w:iCs/>
                <w:sz w:val="22"/>
                <w:szCs w:val="22"/>
                <w:lang w:eastAsia="en-GB"/>
              </w:rPr>
            </w:pPr>
            <w:r>
              <w:rPr>
                <w:rFonts w:ascii="Arial" w:hAnsi="Arial" w:cs="Arial"/>
                <w:iCs/>
                <w:sz w:val="22"/>
                <w:szCs w:val="22"/>
                <w:vertAlign w:val="superscript"/>
                <w:lang w:eastAsia="en-GB"/>
              </w:rPr>
              <w:t>12</w:t>
            </w:r>
            <w:r w:rsidR="008E6094" w:rsidRPr="008E6094">
              <w:rPr>
                <w:rFonts w:ascii="Arial" w:hAnsi="Arial" w:cs="Arial"/>
                <w:iCs/>
                <w:sz w:val="22"/>
                <w:szCs w:val="22"/>
                <w:lang w:eastAsia="en-GB"/>
              </w:rPr>
              <w:t>Queensland Health, Brisbane, QLD, Australia</w:t>
            </w:r>
          </w:p>
          <w:p w14:paraId="112A1472" w14:textId="2AD15547" w:rsidR="00DA2C18" w:rsidRPr="002865A0" w:rsidRDefault="00335D38" w:rsidP="000A1CE1">
            <w:pPr>
              <w:spacing w:before="120" w:after="120"/>
              <w:rPr>
                <w:rFonts w:ascii="Arial" w:hAnsi="Arial" w:cs="Arial"/>
                <w:iCs/>
                <w:sz w:val="22"/>
                <w:szCs w:val="22"/>
                <w:lang w:eastAsia="en-GB"/>
              </w:rPr>
            </w:pPr>
            <w:r>
              <w:rPr>
                <w:rFonts w:ascii="Arial" w:hAnsi="Arial" w:cs="Arial"/>
                <w:iCs/>
                <w:sz w:val="22"/>
                <w:szCs w:val="22"/>
                <w:vertAlign w:val="superscript"/>
                <w:lang w:eastAsia="en-GB"/>
              </w:rPr>
              <w:t>13</w:t>
            </w:r>
            <w:r w:rsidR="000A1CE1" w:rsidRPr="000A1CE1">
              <w:rPr>
                <w:rFonts w:ascii="Arial" w:hAnsi="Arial" w:cs="Arial"/>
                <w:iCs/>
                <w:sz w:val="22"/>
                <w:szCs w:val="22"/>
                <w:lang w:val="en-US" w:eastAsia="en-GB"/>
              </w:rPr>
              <w:t>Macquarie Medical School, Faculty of Medicine, Health and Human Sciences, Macquarie University, NSW, Australia</w:t>
            </w:r>
            <w:r w:rsidR="000A1CE1" w:rsidRPr="000A1CE1">
              <w:rPr>
                <w:rFonts w:ascii="Arial" w:hAnsi="Arial" w:cs="Arial"/>
                <w:iCs/>
                <w:sz w:val="22"/>
                <w:szCs w:val="22"/>
                <w:lang w:eastAsia="en-GB"/>
              </w:rPr>
              <w:t xml:space="preserve">, </w:t>
            </w:r>
          </w:p>
          <w:p w14:paraId="7B1BD224" w14:textId="042760BA" w:rsidR="00DA2C18" w:rsidRPr="002865A0" w:rsidRDefault="000A1CE1" w:rsidP="000A1CE1">
            <w:pPr>
              <w:spacing w:before="120" w:after="120"/>
              <w:rPr>
                <w:rFonts w:ascii="Arial" w:hAnsi="Arial" w:cs="Arial"/>
                <w:iCs/>
                <w:sz w:val="22"/>
                <w:szCs w:val="22"/>
                <w:lang w:eastAsia="en-GB"/>
              </w:rPr>
            </w:pPr>
            <w:r w:rsidRPr="000A1CE1">
              <w:rPr>
                <w:rFonts w:ascii="Arial" w:hAnsi="Arial" w:cs="Arial"/>
                <w:iCs/>
                <w:sz w:val="22"/>
                <w:szCs w:val="22"/>
                <w:vertAlign w:val="superscript"/>
                <w:lang w:eastAsia="en-GB"/>
              </w:rPr>
              <w:t>1</w:t>
            </w:r>
            <w:r w:rsidR="00335D38">
              <w:rPr>
                <w:rFonts w:ascii="Arial" w:hAnsi="Arial" w:cs="Arial"/>
                <w:iCs/>
                <w:sz w:val="22"/>
                <w:szCs w:val="22"/>
                <w:vertAlign w:val="superscript"/>
                <w:lang w:eastAsia="en-GB"/>
              </w:rPr>
              <w:t>4</w:t>
            </w:r>
            <w:r w:rsidRPr="000A1CE1">
              <w:rPr>
                <w:rFonts w:ascii="Arial" w:hAnsi="Arial" w:cs="Arial"/>
                <w:iCs/>
                <w:sz w:val="22"/>
                <w:szCs w:val="22"/>
                <w:lang w:eastAsia="en-GB"/>
              </w:rPr>
              <w:t xml:space="preserve">Woolcock Institute of Medical Research, Glebe, NSW Australia, </w:t>
            </w:r>
          </w:p>
          <w:p w14:paraId="54D38CB9" w14:textId="72575150" w:rsidR="00DA2C18" w:rsidRPr="002865A0" w:rsidRDefault="000A1CE1" w:rsidP="000A1CE1">
            <w:pPr>
              <w:spacing w:before="120" w:after="120"/>
              <w:rPr>
                <w:rFonts w:ascii="Arial" w:hAnsi="Arial" w:cs="Arial"/>
                <w:iCs/>
                <w:sz w:val="22"/>
                <w:szCs w:val="22"/>
                <w:lang w:eastAsia="en-GB"/>
              </w:rPr>
            </w:pPr>
            <w:r w:rsidRPr="000A1CE1">
              <w:rPr>
                <w:rFonts w:ascii="Arial" w:hAnsi="Arial" w:cs="Arial"/>
                <w:iCs/>
                <w:sz w:val="22"/>
                <w:szCs w:val="22"/>
                <w:vertAlign w:val="superscript"/>
                <w:lang w:eastAsia="en-GB"/>
              </w:rPr>
              <w:t>1</w:t>
            </w:r>
            <w:r w:rsidR="00335D38">
              <w:rPr>
                <w:rFonts w:ascii="Arial" w:hAnsi="Arial" w:cs="Arial"/>
                <w:iCs/>
                <w:sz w:val="22"/>
                <w:szCs w:val="22"/>
                <w:vertAlign w:val="superscript"/>
                <w:lang w:eastAsia="en-GB"/>
              </w:rPr>
              <w:t>5</w:t>
            </w:r>
            <w:r w:rsidRPr="000A1CE1">
              <w:rPr>
                <w:rFonts w:ascii="Arial" w:hAnsi="Arial" w:cs="Arial"/>
                <w:iCs/>
                <w:sz w:val="22"/>
                <w:szCs w:val="22"/>
                <w:lang w:eastAsia="en-GB"/>
              </w:rPr>
              <w:t xml:space="preserve">AstraZeneca Pty Ltd, Medical Affairs Biopharmaceuticals Unit, </w:t>
            </w:r>
          </w:p>
          <w:p w14:paraId="3E600B03" w14:textId="328A5D38" w:rsidR="00DA2C18" w:rsidRPr="002865A0" w:rsidRDefault="000A1CE1" w:rsidP="000A1CE1">
            <w:pPr>
              <w:spacing w:before="120" w:after="120"/>
              <w:rPr>
                <w:rFonts w:ascii="Arial" w:hAnsi="Arial" w:cs="Arial"/>
                <w:iCs/>
                <w:sz w:val="22"/>
                <w:szCs w:val="22"/>
                <w:lang w:eastAsia="en-GB"/>
              </w:rPr>
            </w:pPr>
            <w:r w:rsidRPr="000A1CE1">
              <w:rPr>
                <w:rFonts w:ascii="Arial" w:hAnsi="Arial" w:cs="Arial"/>
                <w:iCs/>
                <w:sz w:val="22"/>
                <w:szCs w:val="22"/>
                <w:vertAlign w:val="superscript"/>
                <w:lang w:eastAsia="en-GB"/>
              </w:rPr>
              <w:t>1</w:t>
            </w:r>
            <w:r w:rsidR="00335D38">
              <w:rPr>
                <w:rFonts w:ascii="Arial" w:hAnsi="Arial" w:cs="Arial"/>
                <w:iCs/>
                <w:sz w:val="22"/>
                <w:szCs w:val="22"/>
                <w:vertAlign w:val="superscript"/>
                <w:lang w:eastAsia="en-GB"/>
              </w:rPr>
              <w:t>6</w:t>
            </w:r>
            <w:r w:rsidRPr="000A1CE1">
              <w:rPr>
                <w:rFonts w:ascii="Arial" w:hAnsi="Arial" w:cs="Arial"/>
                <w:iCs/>
                <w:sz w:val="22"/>
                <w:szCs w:val="22"/>
                <w:lang w:eastAsia="en-GB"/>
              </w:rPr>
              <w:t xml:space="preserve">Director, Medical Education, and Events Management Pte Ltd Singapore, </w:t>
            </w:r>
          </w:p>
          <w:p w14:paraId="7B6AE272" w14:textId="4FE417E9" w:rsidR="00DA2C18" w:rsidRPr="002865A0" w:rsidRDefault="000A1CE1" w:rsidP="000A1CE1">
            <w:pPr>
              <w:spacing w:before="120" w:after="120"/>
              <w:rPr>
                <w:rFonts w:ascii="Arial" w:hAnsi="Arial" w:cs="Arial"/>
                <w:iCs/>
                <w:sz w:val="22"/>
                <w:szCs w:val="22"/>
                <w:lang w:eastAsia="en-GB"/>
              </w:rPr>
            </w:pPr>
            <w:r w:rsidRPr="000A1CE1">
              <w:rPr>
                <w:rFonts w:ascii="Arial" w:hAnsi="Arial" w:cs="Arial"/>
                <w:iCs/>
                <w:sz w:val="22"/>
                <w:szCs w:val="22"/>
                <w:vertAlign w:val="superscript"/>
                <w:lang w:eastAsia="en-GB"/>
              </w:rPr>
              <w:t>1</w:t>
            </w:r>
            <w:r w:rsidR="00335D38">
              <w:rPr>
                <w:rFonts w:ascii="Arial" w:hAnsi="Arial" w:cs="Arial"/>
                <w:iCs/>
                <w:sz w:val="22"/>
                <w:szCs w:val="22"/>
                <w:vertAlign w:val="superscript"/>
                <w:lang w:eastAsia="en-GB"/>
              </w:rPr>
              <w:t>7</w:t>
            </w:r>
            <w:r w:rsidRPr="000A1CE1">
              <w:rPr>
                <w:rFonts w:ascii="Arial" w:hAnsi="Arial" w:cs="Arial"/>
                <w:iCs/>
                <w:sz w:val="22"/>
                <w:szCs w:val="22"/>
                <w:lang w:eastAsia="en-GB"/>
              </w:rPr>
              <w:t xml:space="preserve">School of Medicine, Griffith University, Gold Coast, Australia, </w:t>
            </w:r>
          </w:p>
          <w:p w14:paraId="01A55713" w14:textId="77777777" w:rsidR="006F769F" w:rsidRDefault="000A1CE1" w:rsidP="000A1CE1">
            <w:pPr>
              <w:spacing w:before="120" w:after="120"/>
              <w:rPr>
                <w:rFonts w:ascii="Arial" w:hAnsi="Arial" w:cs="Arial"/>
                <w:iCs/>
                <w:sz w:val="22"/>
                <w:szCs w:val="22"/>
                <w:lang w:eastAsia="en-GB"/>
              </w:rPr>
            </w:pPr>
            <w:r w:rsidRPr="000A1CE1">
              <w:rPr>
                <w:rFonts w:ascii="Arial" w:hAnsi="Arial" w:cs="Arial"/>
                <w:iCs/>
                <w:sz w:val="22"/>
                <w:szCs w:val="22"/>
                <w:vertAlign w:val="superscript"/>
                <w:lang w:eastAsia="en-GB"/>
              </w:rPr>
              <w:t>1</w:t>
            </w:r>
            <w:r w:rsidR="00335D38">
              <w:rPr>
                <w:rFonts w:ascii="Arial" w:hAnsi="Arial" w:cs="Arial"/>
                <w:iCs/>
                <w:sz w:val="22"/>
                <w:szCs w:val="22"/>
                <w:vertAlign w:val="superscript"/>
                <w:lang w:eastAsia="en-GB"/>
              </w:rPr>
              <w:t>8</w:t>
            </w:r>
            <w:r w:rsidRPr="000A1CE1">
              <w:rPr>
                <w:rFonts w:ascii="Arial" w:hAnsi="Arial" w:cs="Arial"/>
                <w:iCs/>
                <w:sz w:val="22"/>
                <w:szCs w:val="22"/>
                <w:lang w:eastAsia="en-GB"/>
              </w:rPr>
              <w:t xml:space="preserve">Cannon Hill Family Doctors, Cannon Hill, QLD Australia, </w:t>
            </w:r>
          </w:p>
          <w:p w14:paraId="65C5D1A8" w14:textId="048CBACB" w:rsidR="007F5E79" w:rsidRPr="002865A0" w:rsidRDefault="006F769F" w:rsidP="000A1CE1">
            <w:pPr>
              <w:spacing w:before="120" w:after="120"/>
              <w:rPr>
                <w:rFonts w:ascii="Arial" w:hAnsi="Arial" w:cs="Arial"/>
                <w:iCs/>
                <w:sz w:val="22"/>
                <w:szCs w:val="22"/>
                <w:lang w:eastAsia="en-GB"/>
              </w:rPr>
            </w:pPr>
            <w:r>
              <w:rPr>
                <w:rFonts w:ascii="Arial" w:hAnsi="Arial" w:cs="Arial"/>
                <w:iCs/>
                <w:sz w:val="22"/>
                <w:szCs w:val="22"/>
                <w:vertAlign w:val="superscript"/>
                <w:lang w:eastAsia="en-GB"/>
              </w:rPr>
              <w:t>19</w:t>
            </w:r>
            <w:r w:rsidR="007F5E79" w:rsidRPr="007F5E79">
              <w:rPr>
                <w:rFonts w:ascii="Arial" w:hAnsi="Arial" w:cs="Arial"/>
                <w:iCs/>
                <w:sz w:val="22"/>
                <w:szCs w:val="22"/>
                <w:lang w:eastAsia="en-GB"/>
              </w:rPr>
              <w:t>School of Medicine, University of Tasmania, Churchill Ave, Hobart, TAS, 7005, Australia</w:t>
            </w:r>
          </w:p>
          <w:p w14:paraId="53097522" w14:textId="485A1DB6" w:rsidR="00857863" w:rsidRPr="002865A0" w:rsidRDefault="00210468" w:rsidP="000A1CE1">
            <w:pPr>
              <w:spacing w:before="120" w:after="120"/>
              <w:rPr>
                <w:rFonts w:ascii="Arial" w:hAnsi="Arial" w:cs="Arial"/>
                <w:iCs/>
                <w:sz w:val="22"/>
                <w:szCs w:val="22"/>
                <w:lang w:eastAsia="en-GB"/>
              </w:rPr>
            </w:pPr>
            <w:r>
              <w:rPr>
                <w:rFonts w:ascii="Arial" w:hAnsi="Arial" w:cs="Arial"/>
                <w:iCs/>
                <w:sz w:val="22"/>
                <w:szCs w:val="22"/>
                <w:vertAlign w:val="superscript"/>
                <w:lang w:eastAsia="en-GB"/>
              </w:rPr>
              <w:t>20</w:t>
            </w:r>
            <w:r w:rsidR="000A1CE1" w:rsidRPr="000A1CE1">
              <w:rPr>
                <w:rFonts w:ascii="Arial" w:hAnsi="Arial" w:cs="Arial"/>
                <w:iCs/>
                <w:sz w:val="22"/>
                <w:szCs w:val="22"/>
                <w:lang w:eastAsia="en-GB"/>
              </w:rPr>
              <w:t xml:space="preserve">Connecting Medical Dots BV, Utrecht, the Netherlands, </w:t>
            </w:r>
          </w:p>
          <w:p w14:paraId="13A64CBA" w14:textId="65065097" w:rsidR="00857863" w:rsidRPr="002865A0" w:rsidRDefault="00210468" w:rsidP="000A1CE1">
            <w:pPr>
              <w:spacing w:before="120" w:after="120"/>
              <w:rPr>
                <w:rFonts w:ascii="Arial" w:hAnsi="Arial" w:cs="Arial"/>
                <w:iCs/>
                <w:sz w:val="22"/>
                <w:szCs w:val="22"/>
                <w:lang w:eastAsia="en-GB"/>
              </w:rPr>
            </w:pPr>
            <w:r>
              <w:rPr>
                <w:rFonts w:ascii="Arial" w:hAnsi="Arial" w:cs="Arial"/>
                <w:iCs/>
                <w:sz w:val="22"/>
                <w:szCs w:val="22"/>
                <w:vertAlign w:val="superscript"/>
                <w:lang w:eastAsia="en-GB"/>
              </w:rPr>
              <w:t>21</w:t>
            </w:r>
            <w:r w:rsidR="000A1CE1" w:rsidRPr="000A1CE1">
              <w:rPr>
                <w:rFonts w:ascii="Arial" w:hAnsi="Arial" w:cs="Arial"/>
                <w:iCs/>
                <w:sz w:val="22"/>
                <w:szCs w:val="22"/>
                <w:lang w:eastAsia="en-GB"/>
              </w:rPr>
              <w:t xml:space="preserve">Suncoast Medical Centre, Coolum Beach, QLD Australia, </w:t>
            </w:r>
          </w:p>
          <w:p w14:paraId="45ED36BF" w14:textId="76D9EC09" w:rsidR="00A9796D" w:rsidRPr="005A049D" w:rsidRDefault="00A9796D" w:rsidP="00A9796D">
            <w:pPr>
              <w:spacing w:before="120" w:after="120"/>
              <w:rPr>
                <w:rFonts w:ascii="Arial" w:hAnsi="Arial" w:cs="Arial"/>
                <w:iCs/>
                <w:sz w:val="22"/>
                <w:szCs w:val="22"/>
                <w:vertAlign w:val="superscript"/>
                <w:lang w:eastAsia="en-GB"/>
              </w:rPr>
            </w:pPr>
          </w:p>
        </w:tc>
      </w:tr>
      <w:tr w:rsidR="001564A4" w:rsidRPr="0050053A" w14:paraId="6DAF615A" w14:textId="77777777" w:rsidTr="00155B6D">
        <w:trPr>
          <w:trHeight w:hRule="exact" w:val="9083"/>
          <w:jc w:val="center"/>
        </w:trPr>
        <w:tc>
          <w:tcPr>
            <w:tcW w:w="8654" w:type="dxa"/>
            <w:shd w:val="clear" w:color="auto" w:fill="auto"/>
          </w:tcPr>
          <w:p w14:paraId="26CEE337" w14:textId="57FB0CE7" w:rsidR="00787E8E" w:rsidRPr="00787E8E" w:rsidRDefault="00787E8E" w:rsidP="00787E8E">
            <w:pPr>
              <w:pStyle w:val="Pa12"/>
              <w:rPr>
                <w:sz w:val="22"/>
                <w:szCs w:val="22"/>
              </w:rPr>
            </w:pPr>
            <w:r w:rsidRPr="00787E8E">
              <w:rPr>
                <w:b/>
                <w:sz w:val="22"/>
                <w:szCs w:val="22"/>
                <w:lang w:val="en-GB"/>
              </w:rPr>
              <w:lastRenderedPageBreak/>
              <w:t>Background</w:t>
            </w:r>
            <w:r>
              <w:rPr>
                <w:b/>
                <w:sz w:val="22"/>
                <w:szCs w:val="22"/>
                <w:lang w:val="en-GB"/>
              </w:rPr>
              <w:t>:</w:t>
            </w:r>
            <w:r>
              <w:rPr>
                <w:sz w:val="22"/>
                <w:szCs w:val="22"/>
              </w:rPr>
              <w:t xml:space="preserve"> </w:t>
            </w:r>
            <w:r w:rsidRPr="00787E8E">
              <w:rPr>
                <w:sz w:val="22"/>
                <w:szCs w:val="22"/>
                <w:lang w:val="en-GB"/>
              </w:rPr>
              <w:t xml:space="preserve">Delayed COPD diagnosis and unrecognised exacerbations before diagnosis are associated with future exacerbations. UK and US studies conducted within the CONQUEST program identified substantial opportunities for earlier recognition of COPD in those with potential high-risk COPD. It is unknown if similar opportunities exist within other healthcare systems, such as in Australia. </w:t>
            </w:r>
            <w:r w:rsidRPr="00787E8E">
              <w:rPr>
                <w:b/>
                <w:sz w:val="22"/>
                <w:szCs w:val="22"/>
                <w:lang w:val="en-GB"/>
              </w:rPr>
              <w:t>Aim</w:t>
            </w:r>
            <w:r>
              <w:rPr>
                <w:b/>
                <w:sz w:val="22"/>
                <w:szCs w:val="22"/>
                <w:lang w:val="en-GB"/>
              </w:rPr>
              <w:t>:</w:t>
            </w:r>
          </w:p>
          <w:p w14:paraId="4E2655DA" w14:textId="77777777" w:rsidR="00155B6D" w:rsidRDefault="00787E8E" w:rsidP="000A28E2">
            <w:pPr>
              <w:pStyle w:val="Pa12"/>
              <w:rPr>
                <w:sz w:val="22"/>
                <w:szCs w:val="22"/>
                <w:lang w:val="en-GB"/>
              </w:rPr>
            </w:pPr>
            <w:r w:rsidRPr="00787E8E">
              <w:rPr>
                <w:sz w:val="22"/>
                <w:szCs w:val="22"/>
                <w:lang w:val="en-GB"/>
              </w:rPr>
              <w:t xml:space="preserve">To compare identification and assessment of potentially high-risk COPD patients in Australia, to the CONQUEST quality standards (identification, assessment, </w:t>
            </w:r>
            <w:proofErr w:type="gramStart"/>
            <w:r w:rsidRPr="00787E8E">
              <w:rPr>
                <w:sz w:val="22"/>
                <w:szCs w:val="22"/>
                <w:lang w:val="en-GB"/>
              </w:rPr>
              <w:t>treatment</w:t>
            </w:r>
            <w:proofErr w:type="gramEnd"/>
            <w:r w:rsidRPr="00787E8E">
              <w:rPr>
                <w:sz w:val="22"/>
                <w:szCs w:val="22"/>
                <w:lang w:val="en-GB"/>
              </w:rPr>
              <w:t xml:space="preserve"> and follow-up for high-risk COPD) (https://conquest.care), and national/international guidelines. </w:t>
            </w:r>
            <w:r w:rsidRPr="00787E8E">
              <w:rPr>
                <w:b/>
                <w:sz w:val="22"/>
                <w:szCs w:val="22"/>
                <w:lang w:val="en-GB"/>
              </w:rPr>
              <w:t>Methods</w:t>
            </w:r>
            <w:r>
              <w:rPr>
                <w:b/>
                <w:sz w:val="22"/>
                <w:szCs w:val="22"/>
                <w:lang w:val="en-GB"/>
              </w:rPr>
              <w:t>:</w:t>
            </w:r>
            <w:r>
              <w:rPr>
                <w:sz w:val="22"/>
                <w:szCs w:val="22"/>
                <w:lang w:val="en-GB"/>
              </w:rPr>
              <w:t xml:space="preserve"> </w:t>
            </w:r>
            <w:r w:rsidRPr="00787E8E">
              <w:rPr>
                <w:sz w:val="22"/>
                <w:szCs w:val="22"/>
                <w:lang w:val="en-GB"/>
              </w:rPr>
              <w:t xml:space="preserve">Using the Optimum Patient Care Research Database Australia (OPCRDA), we identified patients with potential COPD (ever smokers aged ≥40) at high-risk of future exacerbations </w:t>
            </w:r>
            <w:bookmarkStart w:id="0" w:name="_Hlk126071175"/>
            <w:r w:rsidRPr="00787E8E">
              <w:rPr>
                <w:sz w:val="22"/>
                <w:szCs w:val="22"/>
                <w:lang w:val="en-GB"/>
              </w:rPr>
              <w:t>(≥2 antibiotic/steroid prescriptions in the prior 12 months</w:t>
            </w:r>
            <w:bookmarkEnd w:id="0"/>
            <w:r w:rsidRPr="00787E8E">
              <w:rPr>
                <w:sz w:val="22"/>
                <w:szCs w:val="22"/>
                <w:lang w:val="en-GB"/>
              </w:rPr>
              <w:t xml:space="preserve">). Cross-sectional analyses were conducted on annual patient cohorts between 2015-2019. </w:t>
            </w:r>
            <w:r w:rsidRPr="00787E8E">
              <w:rPr>
                <w:b/>
                <w:sz w:val="22"/>
                <w:szCs w:val="22"/>
                <w:lang w:val="en-GB"/>
              </w:rPr>
              <w:t>Results</w:t>
            </w:r>
            <w:r>
              <w:rPr>
                <w:b/>
                <w:sz w:val="22"/>
                <w:szCs w:val="22"/>
                <w:lang w:val="en-GB"/>
              </w:rPr>
              <w:t>:</w:t>
            </w:r>
            <w:r>
              <w:rPr>
                <w:sz w:val="22"/>
                <w:szCs w:val="22"/>
                <w:lang w:val="en-GB"/>
              </w:rPr>
              <w:t xml:space="preserve"> </w:t>
            </w:r>
            <w:r w:rsidRPr="00787E8E">
              <w:rPr>
                <w:sz w:val="22"/>
                <w:szCs w:val="22"/>
                <w:lang w:val="en-GB"/>
              </w:rPr>
              <w:t>Of ever smokers aged ≥40 years, 6.2% (1045/16816) to 8.3% (834/9998) of patients were deemed high-risk in 2015-2019. In the annual period when patients first became high-risk, &lt;5% of potential high-risk COPD patients had recorded lung function, &lt;1% had a respiratory referral and &lt;50% had an updated smoking status recorded. 11-13% of this population were prescribed maintenance inhaled COPD therapy in each study year without a recorded respiratory diagnosis. Around 1% of undiagnosed high-risk patients received a COPD diagnosis in each study year.</w:t>
            </w:r>
            <w:r>
              <w:rPr>
                <w:sz w:val="22"/>
                <w:szCs w:val="22"/>
                <w:lang w:val="en-GB"/>
              </w:rPr>
              <w:t xml:space="preserve"> </w:t>
            </w:r>
            <w:r w:rsidRPr="00787E8E">
              <w:rPr>
                <w:b/>
                <w:sz w:val="22"/>
                <w:szCs w:val="22"/>
                <w:lang w:val="en-GB"/>
              </w:rPr>
              <w:t>Conclusions</w:t>
            </w:r>
            <w:r>
              <w:rPr>
                <w:b/>
                <w:sz w:val="22"/>
                <w:szCs w:val="22"/>
                <w:lang w:val="en-GB"/>
              </w:rPr>
              <w:t>:</w:t>
            </w:r>
            <w:r>
              <w:rPr>
                <w:sz w:val="22"/>
                <w:szCs w:val="22"/>
                <w:lang w:val="en-GB"/>
              </w:rPr>
              <w:t xml:space="preserve"> </w:t>
            </w:r>
            <w:r w:rsidRPr="00787E8E">
              <w:rPr>
                <w:sz w:val="22"/>
                <w:szCs w:val="22"/>
                <w:lang w:val="en-GB"/>
              </w:rPr>
              <w:t xml:space="preserve">There is scope for earlier diagnosis of COPD among patients at high risk of exacerbation in line with guidelines and CONQUEST quality standards. </w:t>
            </w:r>
          </w:p>
          <w:p w14:paraId="3A6B3473" w14:textId="77777777" w:rsidR="00155B6D" w:rsidRDefault="00155B6D" w:rsidP="000A28E2">
            <w:pPr>
              <w:pStyle w:val="Pa12"/>
              <w:rPr>
                <w:lang w:val="en-GB"/>
              </w:rPr>
            </w:pPr>
          </w:p>
          <w:p w14:paraId="196E7BAC" w14:textId="73BC1340" w:rsidR="001564A4" w:rsidRPr="00155B6D" w:rsidRDefault="00155B6D" w:rsidP="000A28E2">
            <w:pPr>
              <w:pStyle w:val="Pa12"/>
              <w:rPr>
                <w:rStyle w:val="A4"/>
                <w:color w:val="auto"/>
                <w:lang w:val="en-GB"/>
              </w:rPr>
            </w:pPr>
            <w:r w:rsidRPr="00155B6D">
              <w:rPr>
                <w:b/>
                <w:bCs/>
                <w:sz w:val="22"/>
                <w:szCs w:val="22"/>
                <w:lang w:val="en-GB"/>
              </w:rPr>
              <w:t>Key Words:</w:t>
            </w:r>
            <w:r>
              <w:rPr>
                <w:b/>
                <w:bCs/>
                <w:sz w:val="22"/>
                <w:szCs w:val="22"/>
                <w:lang w:val="en-GB"/>
              </w:rPr>
              <w:t xml:space="preserve"> </w:t>
            </w:r>
            <w:r>
              <w:rPr>
                <w:sz w:val="22"/>
                <w:szCs w:val="22"/>
                <w:lang w:val="en-GB"/>
              </w:rPr>
              <w:t xml:space="preserve">COPD, Primary Care, </w:t>
            </w:r>
            <w:r w:rsidR="00C618CD">
              <w:rPr>
                <w:sz w:val="22"/>
                <w:szCs w:val="22"/>
                <w:lang w:val="en-GB"/>
              </w:rPr>
              <w:t>High-risk COPD</w:t>
            </w:r>
            <w:r w:rsidR="001564A4" w:rsidRPr="00155B6D">
              <w:rPr>
                <w:rStyle w:val="A4"/>
                <w:bCs/>
              </w:rPr>
              <w:br/>
            </w:r>
          </w:p>
          <w:p w14:paraId="0D1F188C" w14:textId="27B7E133" w:rsidR="00787E8E" w:rsidRDefault="001564A4" w:rsidP="000A28E2">
            <w:pPr>
              <w:pStyle w:val="Pa12"/>
              <w:rPr>
                <w:sz w:val="22"/>
                <w:szCs w:val="22"/>
              </w:rPr>
            </w:pPr>
            <w:r w:rsidRPr="0050053A">
              <w:rPr>
                <w:rStyle w:val="A4"/>
                <w:b/>
                <w:bCs/>
              </w:rPr>
              <w:t xml:space="preserve">Grant Support: </w:t>
            </w:r>
            <w:r w:rsidR="00C4325C" w:rsidRPr="00C4325C">
              <w:rPr>
                <w:rStyle w:val="A4"/>
              </w:rPr>
              <w:t>This study was conducted by Optimum Patient Care Australia (OPCA) and was partially funded by AstraZeneca and Optimum Patient Care Australia (OPCA).</w:t>
            </w:r>
          </w:p>
          <w:p w14:paraId="34BF0A0F" w14:textId="06636EA5" w:rsidR="001564A4" w:rsidRPr="00672C06" w:rsidRDefault="00787E8E" w:rsidP="00672C06">
            <w:pPr>
              <w:shd w:val="clear" w:color="auto" w:fill="FFFFFF"/>
              <w:spacing w:before="240" w:after="240"/>
              <w:jc w:val="both"/>
              <w:rPr>
                <w:rFonts w:ascii="Arial" w:hAnsi="Arial" w:cs="Arial"/>
                <w:b/>
                <w:bCs/>
                <w:color w:val="222222"/>
                <w:sz w:val="22"/>
                <w:szCs w:val="22"/>
              </w:rPr>
            </w:pPr>
            <w:r w:rsidRPr="00800404">
              <w:rPr>
                <w:rFonts w:ascii="Arial" w:hAnsi="Arial" w:cs="Arial"/>
                <w:b/>
                <w:bCs/>
                <w:color w:val="222222"/>
                <w:sz w:val="22"/>
                <w:szCs w:val="22"/>
              </w:rPr>
              <w:t>Acknowledgements</w:t>
            </w:r>
            <w:r w:rsidR="00800404" w:rsidRPr="00800404">
              <w:rPr>
                <w:rFonts w:ascii="Arial" w:hAnsi="Arial" w:cs="Arial"/>
                <w:b/>
                <w:bCs/>
                <w:color w:val="222222"/>
                <w:sz w:val="22"/>
                <w:szCs w:val="22"/>
              </w:rPr>
              <w:t xml:space="preserve">: </w:t>
            </w:r>
            <w:r w:rsidRPr="00800404">
              <w:rPr>
                <w:rFonts w:ascii="Arial" w:hAnsi="Arial" w:cs="Arial"/>
                <w:color w:val="222222"/>
                <w:sz w:val="22"/>
                <w:szCs w:val="22"/>
              </w:rPr>
              <w:t xml:space="preserve">We thank Dominique Novic, Ata </w:t>
            </w:r>
            <w:proofErr w:type="spellStart"/>
            <w:r w:rsidRPr="00800404">
              <w:rPr>
                <w:rFonts w:ascii="Arial" w:hAnsi="Arial" w:cs="Arial"/>
                <w:color w:val="222222"/>
                <w:sz w:val="22"/>
                <w:szCs w:val="22"/>
              </w:rPr>
              <w:t>Kichkin</w:t>
            </w:r>
            <w:proofErr w:type="spellEnd"/>
            <w:r w:rsidRPr="00800404">
              <w:rPr>
                <w:rFonts w:ascii="Arial" w:hAnsi="Arial" w:cs="Arial"/>
                <w:color w:val="222222"/>
                <w:sz w:val="22"/>
                <w:szCs w:val="22"/>
              </w:rPr>
              <w:t xml:space="preserve">, Chi Ming Lau, John Pakos, Josephine Samuel-king, Bruce </w:t>
            </w:r>
            <w:r w:rsidR="00E96414" w:rsidRPr="00800404">
              <w:rPr>
                <w:rFonts w:ascii="Arial" w:hAnsi="Arial" w:cs="Arial"/>
                <w:color w:val="222222"/>
                <w:sz w:val="22"/>
                <w:szCs w:val="22"/>
              </w:rPr>
              <w:t>Willet,</w:t>
            </w:r>
            <w:r w:rsidRPr="00800404">
              <w:rPr>
                <w:rFonts w:ascii="Arial" w:hAnsi="Arial" w:cs="Arial"/>
                <w:color w:val="222222"/>
                <w:sz w:val="22"/>
                <w:szCs w:val="22"/>
              </w:rPr>
              <w:t xml:space="preserve"> and the Research Working Group for their valuable contribution.</w:t>
            </w:r>
          </w:p>
          <w:p w14:paraId="1FF1A88F" w14:textId="10A336CF"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39D6"/>
    <w:rsid w:val="000A1CE1"/>
    <w:rsid w:val="00140682"/>
    <w:rsid w:val="001534F2"/>
    <w:rsid w:val="00155B6D"/>
    <w:rsid w:val="001564A4"/>
    <w:rsid w:val="00210468"/>
    <w:rsid w:val="00212961"/>
    <w:rsid w:val="002760FD"/>
    <w:rsid w:val="002865A0"/>
    <w:rsid w:val="002905DD"/>
    <w:rsid w:val="00335D38"/>
    <w:rsid w:val="00345E91"/>
    <w:rsid w:val="0040598D"/>
    <w:rsid w:val="00410152"/>
    <w:rsid w:val="00412C34"/>
    <w:rsid w:val="004453F6"/>
    <w:rsid w:val="004D6B38"/>
    <w:rsid w:val="004E0F06"/>
    <w:rsid w:val="004F1027"/>
    <w:rsid w:val="0051574E"/>
    <w:rsid w:val="00516777"/>
    <w:rsid w:val="005A049D"/>
    <w:rsid w:val="005E40FA"/>
    <w:rsid w:val="00672C06"/>
    <w:rsid w:val="006A2192"/>
    <w:rsid w:val="006F769F"/>
    <w:rsid w:val="007352FD"/>
    <w:rsid w:val="00787E8E"/>
    <w:rsid w:val="007A792A"/>
    <w:rsid w:val="007F5E79"/>
    <w:rsid w:val="00800404"/>
    <w:rsid w:val="008218AB"/>
    <w:rsid w:val="00857863"/>
    <w:rsid w:val="008803FA"/>
    <w:rsid w:val="008E6094"/>
    <w:rsid w:val="009125B2"/>
    <w:rsid w:val="00940D94"/>
    <w:rsid w:val="00A369D7"/>
    <w:rsid w:val="00A9796D"/>
    <w:rsid w:val="00AB7EBA"/>
    <w:rsid w:val="00AC726B"/>
    <w:rsid w:val="00B12E32"/>
    <w:rsid w:val="00B12E96"/>
    <w:rsid w:val="00BC3DEA"/>
    <w:rsid w:val="00BF328F"/>
    <w:rsid w:val="00C1622D"/>
    <w:rsid w:val="00C34164"/>
    <w:rsid w:val="00C4325C"/>
    <w:rsid w:val="00C618CD"/>
    <w:rsid w:val="00CA2FE0"/>
    <w:rsid w:val="00CA7997"/>
    <w:rsid w:val="00D53D1C"/>
    <w:rsid w:val="00D758BF"/>
    <w:rsid w:val="00DA2C18"/>
    <w:rsid w:val="00DB3FBD"/>
    <w:rsid w:val="00E0700F"/>
    <w:rsid w:val="00E43116"/>
    <w:rsid w:val="00E96414"/>
    <w:rsid w:val="00F14499"/>
    <w:rsid w:val="00F207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21798">
      <w:bodyDiv w:val="1"/>
      <w:marLeft w:val="0"/>
      <w:marRight w:val="0"/>
      <w:marTop w:val="0"/>
      <w:marBottom w:val="0"/>
      <w:divBdr>
        <w:top w:val="none" w:sz="0" w:space="0" w:color="auto"/>
        <w:left w:val="none" w:sz="0" w:space="0" w:color="auto"/>
        <w:bottom w:val="none" w:sz="0" w:space="0" w:color="auto"/>
        <w:right w:val="none" w:sz="0" w:space="0" w:color="auto"/>
      </w:divBdr>
    </w:div>
    <w:div w:id="715280061">
      <w:bodyDiv w:val="1"/>
      <w:marLeft w:val="0"/>
      <w:marRight w:val="0"/>
      <w:marTop w:val="0"/>
      <w:marBottom w:val="0"/>
      <w:divBdr>
        <w:top w:val="none" w:sz="0" w:space="0" w:color="auto"/>
        <w:left w:val="none" w:sz="0" w:space="0" w:color="auto"/>
        <w:bottom w:val="none" w:sz="0" w:space="0" w:color="auto"/>
        <w:right w:val="none" w:sz="0" w:space="0" w:color="auto"/>
      </w:divBdr>
    </w:div>
    <w:div w:id="999164069">
      <w:bodyDiv w:val="1"/>
      <w:marLeft w:val="0"/>
      <w:marRight w:val="0"/>
      <w:marTop w:val="0"/>
      <w:marBottom w:val="0"/>
      <w:divBdr>
        <w:top w:val="none" w:sz="0" w:space="0" w:color="auto"/>
        <w:left w:val="none" w:sz="0" w:space="0" w:color="auto"/>
        <w:bottom w:val="none" w:sz="0" w:space="0" w:color="auto"/>
        <w:right w:val="none" w:sz="0" w:space="0" w:color="auto"/>
      </w:divBdr>
    </w:div>
    <w:div w:id="1059981319">
      <w:bodyDiv w:val="1"/>
      <w:marLeft w:val="0"/>
      <w:marRight w:val="0"/>
      <w:marTop w:val="0"/>
      <w:marBottom w:val="0"/>
      <w:divBdr>
        <w:top w:val="none" w:sz="0" w:space="0" w:color="auto"/>
        <w:left w:val="none" w:sz="0" w:space="0" w:color="auto"/>
        <w:bottom w:val="none" w:sz="0" w:space="0" w:color="auto"/>
        <w:right w:val="none" w:sz="0" w:space="0" w:color="auto"/>
      </w:divBdr>
    </w:div>
    <w:div w:id="1079058705">
      <w:bodyDiv w:val="1"/>
      <w:marLeft w:val="0"/>
      <w:marRight w:val="0"/>
      <w:marTop w:val="0"/>
      <w:marBottom w:val="0"/>
      <w:divBdr>
        <w:top w:val="none" w:sz="0" w:space="0" w:color="auto"/>
        <w:left w:val="none" w:sz="0" w:space="0" w:color="auto"/>
        <w:bottom w:val="none" w:sz="0" w:space="0" w:color="auto"/>
        <w:right w:val="none" w:sz="0" w:space="0" w:color="auto"/>
      </w:divBdr>
    </w:div>
    <w:div w:id="1205480411">
      <w:bodyDiv w:val="1"/>
      <w:marLeft w:val="0"/>
      <w:marRight w:val="0"/>
      <w:marTop w:val="0"/>
      <w:marBottom w:val="0"/>
      <w:divBdr>
        <w:top w:val="none" w:sz="0" w:space="0" w:color="auto"/>
        <w:left w:val="none" w:sz="0" w:space="0" w:color="auto"/>
        <w:bottom w:val="none" w:sz="0" w:space="0" w:color="auto"/>
        <w:right w:val="none" w:sz="0" w:space="0" w:color="auto"/>
      </w:divBdr>
    </w:div>
    <w:div w:id="1384865103">
      <w:bodyDiv w:val="1"/>
      <w:marLeft w:val="0"/>
      <w:marRight w:val="0"/>
      <w:marTop w:val="0"/>
      <w:marBottom w:val="0"/>
      <w:divBdr>
        <w:top w:val="none" w:sz="0" w:space="0" w:color="auto"/>
        <w:left w:val="none" w:sz="0" w:space="0" w:color="auto"/>
        <w:bottom w:val="none" w:sz="0" w:space="0" w:color="auto"/>
        <w:right w:val="none" w:sz="0" w:space="0" w:color="auto"/>
      </w:divBdr>
    </w:div>
    <w:div w:id="175180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fdc680-6f6f-4375-a5ca-ce6fa7fcd611"/>
    <lcf76f155ced4ddcb4097134ff3c332f xmlns="434b28f0-8731-4cc4-81b6-62b82b172f24">
      <Terms xmlns="http://schemas.microsoft.com/office/infopath/2007/PartnerControls"/>
    </lcf76f155ced4ddcb4097134ff3c332f>
    <Status xmlns="434b28f0-8731-4cc4-81b6-62b82b172f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65BB6686B9694B91D80512DE96376D" ma:contentTypeVersion="15" ma:contentTypeDescription="Create a new document." ma:contentTypeScope="" ma:versionID="50841ead16def415422aa6c9b9bc7756">
  <xsd:schema xmlns:xsd="http://www.w3.org/2001/XMLSchema" xmlns:xs="http://www.w3.org/2001/XMLSchema" xmlns:p="http://schemas.microsoft.com/office/2006/metadata/properties" xmlns:ns2="434b28f0-8731-4cc4-81b6-62b82b172f24" xmlns:ns3="c4fdc680-6f6f-4375-a5ca-ce6fa7fcd611" targetNamespace="http://schemas.microsoft.com/office/2006/metadata/properties" ma:root="true" ma:fieldsID="2460d426ce95dedbcc14f242088e41c4" ns2:_="" ns3:_="">
    <xsd:import namespace="434b28f0-8731-4cc4-81b6-62b82b172f24"/>
    <xsd:import namespace="c4fdc680-6f6f-4375-a5ca-ce6fa7fcd6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b28f0-8731-4cc4-81b6-62b82b172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ed13bda-c4fe-452c-9652-5df4252020b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Status" ma:index="22" nillable="true" ma:displayName="Status" ma:format="Dropdown" ma:internalName="Status">
      <xsd:simpleType>
        <xsd:restriction base="dms:Choice">
          <xsd:enumeration value="Ongoing"/>
          <xsd:enumeration value="Completed"/>
          <xsd:enumeration value="On Hold"/>
        </xsd:restriction>
      </xsd:simpleType>
    </xsd:element>
  </xsd:schema>
  <xsd:schema xmlns:xsd="http://www.w3.org/2001/XMLSchema" xmlns:xs="http://www.w3.org/2001/XMLSchema" xmlns:dms="http://schemas.microsoft.com/office/2006/documentManagement/types" xmlns:pc="http://schemas.microsoft.com/office/infopath/2007/PartnerControls" targetNamespace="c4fdc680-6f6f-4375-a5ca-ce6fa7fcd6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ab99820-b8b1-4ab8-941f-bd8c48def28e}" ma:internalName="TaxCatchAll" ma:showField="CatchAllData" ma:web="c4fdc680-6f6f-4375-a5ca-ce6fa7fcd6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purl.org/dc/dcmitype/"/>
    <ds:schemaRef ds:uri="434b28f0-8731-4cc4-81b6-62b82b172f24"/>
    <ds:schemaRef ds:uri="http://schemas.openxmlformats.org/package/2006/metadata/core-properties"/>
    <ds:schemaRef ds:uri="http://www.w3.org/XML/1998/namespace"/>
    <ds:schemaRef ds:uri="http://purl.org/dc/elements/1.1/"/>
    <ds:schemaRef ds:uri="c4fdc680-6f6f-4375-a5ca-ce6fa7fcd611"/>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1A79A3E-E994-4882-887D-D1CD371A6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b28f0-8731-4cc4-81b6-62b82b172f24"/>
    <ds:schemaRef ds:uri="c4fdc680-6f6f-4375-a5ca-ce6fa7fcd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Alexander Roussos</cp:lastModifiedBy>
  <cp:revision>2</cp:revision>
  <dcterms:created xsi:type="dcterms:W3CDTF">2023-10-23T07:44:00Z</dcterms:created>
  <dcterms:modified xsi:type="dcterms:W3CDTF">2023-10-23T07:44:00Z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0x010100FA65BB6686B9694B91D80512DE96376D</vt:lpwstr>
  </property>
  <property fmtid="{D5CDD505-2E9C-101B-9397-08002B2CF9AE}" pid="3" name="MediaServiceImageTags">
    <vt:lpwstr/>
  </property>
</Properties>
</file>