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4"/>
      </w:tblGrid>
      <w:tr w:rsidR="001564A4" w:rsidRPr="003E6535" w14:paraId="5C38377B" w14:textId="77777777" w:rsidTr="000839C1">
        <w:trPr>
          <w:trHeight w:val="570"/>
          <w:jc w:val="center"/>
        </w:trPr>
        <w:tc>
          <w:tcPr>
            <w:tcW w:w="8724" w:type="dxa"/>
            <w:shd w:val="clear" w:color="auto" w:fill="auto"/>
          </w:tcPr>
          <w:p w14:paraId="5C44F357" w14:textId="59E96E71" w:rsidR="001564A4" w:rsidRPr="008F27F6" w:rsidRDefault="57B1802F" w:rsidP="1D0864A7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</w:pPr>
            <w:r w:rsidRPr="003E6535">
              <w:rPr>
                <w:rFonts w:ascii="Arial" w:hAnsi="Arial" w:cs="Arial"/>
                <w:b/>
                <w:bCs/>
                <w:sz w:val="16"/>
                <w:szCs w:val="16"/>
                <w:lang w:val="en-US" w:eastAsia="en-GB"/>
              </w:rPr>
              <w:t xml:space="preserve"> </w:t>
            </w:r>
            <w:r w:rsidRPr="008F27F6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Cell block molecular testing: Rapid-on-site-cytology slides could save repeat procedures.</w:t>
            </w:r>
          </w:p>
        </w:tc>
      </w:tr>
      <w:tr w:rsidR="001564A4" w:rsidRPr="003E6535" w14:paraId="0E2E035C" w14:textId="77777777" w:rsidTr="000839C1">
        <w:trPr>
          <w:trHeight w:val="555"/>
          <w:jc w:val="center"/>
        </w:trPr>
        <w:tc>
          <w:tcPr>
            <w:tcW w:w="8724" w:type="dxa"/>
            <w:shd w:val="clear" w:color="auto" w:fill="auto"/>
          </w:tcPr>
          <w:p w14:paraId="73B55295" w14:textId="0B63A58A" w:rsidR="001564A4" w:rsidRPr="008F27F6" w:rsidRDefault="2DA0842E" w:rsidP="7E283F22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 w:eastAsia="en-GB"/>
              </w:rPr>
            </w:pPr>
            <w:r w:rsidRPr="008F27F6">
              <w:rPr>
                <w:rFonts w:ascii="Arial" w:hAnsi="Arial" w:cs="Arial"/>
                <w:sz w:val="22"/>
                <w:szCs w:val="22"/>
                <w:lang w:val="en-US" w:eastAsia="en-GB"/>
              </w:rPr>
              <w:t>Thomas Knowlman</w:t>
            </w:r>
            <w:r w:rsidR="3CFE60C4" w:rsidRPr="008F27F6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3CFE60C4" w:rsidRPr="008F27F6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1F52CA15" w:rsidRPr="008F27F6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Kimberley Ryan</w:t>
            </w:r>
            <w:bookmarkEnd w:id="0"/>
            <w:r w:rsidR="193BF16D" w:rsidRPr="008F27F6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3CFE60C4" w:rsidRPr="008F27F6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376B42BD" w:rsidRPr="008F27F6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David Fielding</w:t>
            </w:r>
            <w:r w:rsidR="67DDCA16" w:rsidRPr="008F27F6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3E6535" w14:paraId="385A19D9" w14:textId="77777777" w:rsidTr="59279041">
        <w:trPr>
          <w:trHeight w:val="242"/>
          <w:jc w:val="center"/>
        </w:trPr>
        <w:tc>
          <w:tcPr>
            <w:tcW w:w="8724" w:type="dxa"/>
            <w:shd w:val="clear" w:color="auto" w:fill="auto"/>
          </w:tcPr>
          <w:p w14:paraId="45ED36BF" w14:textId="20F5FA11" w:rsidR="001564A4" w:rsidRPr="003E6535" w:rsidRDefault="3CFE60C4" w:rsidP="7E283F22">
            <w:pPr>
              <w:spacing w:before="120" w:after="120"/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</w:pPr>
            <w:r w:rsidRPr="008F27F6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E77CB1B" w:rsidRPr="008F27F6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E77CB1B" w:rsidRPr="008F27F6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Royal Brisbane &amp; Women’s Hospital, Department of Thoracic Medicine</w:t>
            </w:r>
          </w:p>
        </w:tc>
      </w:tr>
      <w:tr w:rsidR="001564A4" w:rsidRPr="003E6535" w14:paraId="6DAF615A" w14:textId="77777777" w:rsidTr="59279041">
        <w:trPr>
          <w:trHeight w:val="7485"/>
          <w:jc w:val="center"/>
        </w:trPr>
        <w:tc>
          <w:tcPr>
            <w:tcW w:w="8724" w:type="dxa"/>
            <w:shd w:val="clear" w:color="auto" w:fill="auto"/>
          </w:tcPr>
          <w:p w14:paraId="739E7937" w14:textId="77777777" w:rsidR="001564A4" w:rsidRPr="008F27F6" w:rsidRDefault="3CFE60C4" w:rsidP="7E283F22">
            <w:pPr>
              <w:pStyle w:val="Pa12"/>
              <w:rPr>
                <w:rStyle w:val="A4"/>
                <w:rFonts w:eastAsia="Arial"/>
              </w:rPr>
            </w:pPr>
            <w:r w:rsidRPr="008F27F6">
              <w:rPr>
                <w:rStyle w:val="A4"/>
                <w:rFonts w:eastAsia="Arial"/>
                <w:b/>
                <w:bCs/>
              </w:rPr>
              <w:t xml:space="preserve">Introduction/Aim: </w:t>
            </w:r>
          </w:p>
          <w:p w14:paraId="1295F1F0" w14:textId="77777777" w:rsidR="008F27F6" w:rsidRDefault="0D89E97D" w:rsidP="008F27F6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Non-small</w:t>
            </w:r>
            <w:r w:rsidR="00D46F77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 cell lung cancer (</w:t>
            </w:r>
            <w:r w:rsidR="00C53438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NSCLC) patients require</w:t>
            </w:r>
            <w:r w:rsidR="3B027D28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 mutation analysis</w:t>
            </w:r>
            <w:r w:rsidR="0159054A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 at diagnosis</w:t>
            </w:r>
            <w:r w:rsidR="0D622D1C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.</w:t>
            </w:r>
            <w:r w:rsidR="3B027D28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  <w:lang w:val="en-AU"/>
              </w:rPr>
              <w:t>1</w:t>
            </w:r>
            <w:r w:rsidR="3B027D28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 During an </w:t>
            </w:r>
            <w:r w:rsidR="6786B4DB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endobronchial ultrasound guided transbronchial needle aspiration </w:t>
            </w:r>
            <w:r w:rsidR="0BB1CB4D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(</w:t>
            </w:r>
            <w:r w:rsidR="3B027D28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EBUS-TBNA</w:t>
            </w:r>
            <w:r w:rsidR="51E6A425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)</w:t>
            </w:r>
            <w:r w:rsidR="3B027D28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, samples </w:t>
            </w:r>
            <w:r w:rsidR="00650098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include</w:t>
            </w:r>
            <w:r w:rsidR="3B027D28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79A4BEE9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Rapid-</w:t>
            </w:r>
            <w:r w:rsidR="3B027D28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on-site cyto</w:t>
            </w:r>
            <w:r w:rsidR="0895B613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log</w:t>
            </w:r>
            <w:r w:rsidR="3B027D28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y on ‘diff-quick’ slides.</w:t>
            </w:r>
            <w:r w:rsidR="29C7759C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708B22BA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Novel techniques</w:t>
            </w:r>
            <w:r w:rsidR="29C7759C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  <w:lang w:val="en-AU"/>
              </w:rPr>
              <w:t>2</w:t>
            </w:r>
            <w:r w:rsidR="29C7759C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 allow </w:t>
            </w:r>
            <w:r w:rsidR="07BF9BAE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n</w:t>
            </w:r>
            <w:r w:rsidR="29C7759C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ext</w:t>
            </w:r>
            <w:r w:rsidR="735B08EC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-</w:t>
            </w:r>
            <w:r w:rsidR="29C7759C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generation panel sequencing for mutation</w:t>
            </w:r>
            <w:r w:rsidR="339F7865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s</w:t>
            </w:r>
            <w:r w:rsidR="6E4EBF0F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29C7759C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from ‘</w:t>
            </w:r>
            <w:r w:rsidR="0BD4E7C6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D</w:t>
            </w:r>
            <w:r w:rsidR="29C7759C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iff-</w:t>
            </w:r>
            <w:r w:rsidR="6B275A5E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Q</w:t>
            </w:r>
            <w:r w:rsidR="29C7759C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uick’ slides with high sensitivity and </w:t>
            </w:r>
            <w:r w:rsidR="52AD7B85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minimal cellular material</w:t>
            </w:r>
            <w:r w:rsidR="29C7759C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. This has not yet b</w:t>
            </w:r>
            <w:r w:rsidR="7B4966CE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ecome routine</w:t>
            </w:r>
            <w:r w:rsidR="29C7759C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.</w:t>
            </w:r>
            <w:r w:rsid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  <w:p w14:paraId="3D770CF7" w14:textId="7B0F3CA1" w:rsidR="001564A4" w:rsidRPr="008F27F6" w:rsidRDefault="00B924B8" w:rsidP="008F27F6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NZ"/>
              </w:rPr>
            </w:pPr>
            <w:r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In lab work-up</w:t>
            </w:r>
            <w:r w:rsidR="630FA2A3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, </w:t>
            </w:r>
            <w:r w:rsidR="6C0A8063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cell block</w:t>
            </w:r>
            <w:r w:rsidR="003B31B2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s</w:t>
            </w:r>
            <w:r w:rsidR="3B027D28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5EB1E892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may </w:t>
            </w:r>
            <w:r w:rsidR="2100D8A8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be </w:t>
            </w:r>
            <w:r w:rsidR="003B31B2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deemed </w:t>
            </w:r>
            <w:r w:rsidR="3B027D28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insufficient for mutation</w:t>
            </w:r>
            <w:r w:rsidR="47281D4D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3B027D28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testing</w:t>
            </w:r>
            <w:r w:rsidR="003B31B2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 due to low tumour content</w:t>
            </w:r>
            <w:r w:rsidR="00B779E2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, sometimes necessitating repeat</w:t>
            </w:r>
            <w:r w:rsidR="3B027D28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 procedures</w:t>
            </w:r>
            <w:r w:rsidR="00B779E2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. </w:t>
            </w:r>
            <w:r w:rsidR="3B027D28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We a</w:t>
            </w:r>
            <w:r w:rsidR="5EB8F0C2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udited</w:t>
            </w:r>
            <w:r w:rsidR="3B027D28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 the adequacy of cell block </w:t>
            </w:r>
            <w:r w:rsidR="70EBFE58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samples </w:t>
            </w:r>
            <w:r w:rsidR="3B027D28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for mutation analysis in patients </w:t>
            </w:r>
            <w:r w:rsidR="45A07BE9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diagnosed</w:t>
            </w:r>
            <w:r w:rsidR="3B027D28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 on EBUS-TBNA. The objective</w:t>
            </w:r>
            <w:r w:rsidR="07A50B45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 was</w:t>
            </w:r>
            <w:r w:rsidR="3B027D28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 to determine the proportion of patients </w:t>
            </w:r>
            <w:r w:rsidR="6D7D48CB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with </w:t>
            </w:r>
            <w:r w:rsidR="3B027D28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inadequate </w:t>
            </w:r>
            <w:r w:rsidR="50137F09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cell block</w:t>
            </w:r>
            <w:r w:rsidR="3B027D28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, but potentially sufficient DNA on ‘Diff-Quick’ slides. </w:t>
            </w:r>
          </w:p>
          <w:p w14:paraId="78DCF63B" w14:textId="77777777" w:rsidR="008F27F6" w:rsidRDefault="008F27F6" w:rsidP="008F27F6">
            <w:pPr>
              <w:pStyle w:val="Pa12"/>
              <w:spacing w:line="259" w:lineRule="auto"/>
              <w:rPr>
                <w:rStyle w:val="A4"/>
                <w:rFonts w:eastAsia="Arial"/>
                <w:b/>
                <w:bCs/>
              </w:rPr>
            </w:pPr>
          </w:p>
          <w:p w14:paraId="0BEA06B9" w14:textId="0B0C7B25" w:rsidR="001564A4" w:rsidRPr="008F27F6" w:rsidRDefault="3CFE60C4" w:rsidP="008F27F6">
            <w:pPr>
              <w:pStyle w:val="Pa12"/>
              <w:spacing w:line="259" w:lineRule="auto"/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</w:pPr>
            <w:r w:rsidRPr="008F27F6">
              <w:rPr>
                <w:rStyle w:val="A4"/>
                <w:rFonts w:eastAsia="Arial"/>
                <w:b/>
                <w:bCs/>
              </w:rPr>
              <w:t xml:space="preserve">Methods: </w:t>
            </w:r>
            <w:r w:rsidRPr="008F27F6">
              <w:rPr>
                <w:sz w:val="22"/>
                <w:szCs w:val="22"/>
              </w:rPr>
              <w:br/>
            </w:r>
            <w:r w:rsidR="00A12D2D" w:rsidRPr="008F27F6"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  <w:t>A</w:t>
            </w:r>
            <w:r w:rsidR="4471F9BF" w:rsidRPr="008F27F6"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  <w:t xml:space="preserve">ll </w:t>
            </w:r>
            <w:r w:rsidR="2D0480CB" w:rsidRPr="008F27F6"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  <w:t>EBUS-TBNA procedures at the RBWH</w:t>
            </w:r>
            <w:r w:rsidR="05D6C2FC" w:rsidRPr="008F27F6"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  <w:t xml:space="preserve"> between 1/3/2020 and 30/6/2023</w:t>
            </w:r>
            <w:r w:rsidR="01EB8C3B" w:rsidRPr="008F27F6"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00A12D2D" w:rsidRPr="008F27F6"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  <w:t>were audited</w:t>
            </w:r>
            <w:r w:rsidR="2D0480CB" w:rsidRPr="008F27F6"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  <w:t xml:space="preserve">. </w:t>
            </w:r>
            <w:r w:rsidR="38919A0E" w:rsidRPr="008F27F6">
              <w:rPr>
                <w:rStyle w:val="A4"/>
                <w:rFonts w:eastAsia="Arial"/>
              </w:rPr>
              <w:t>Patients</w:t>
            </w:r>
            <w:r w:rsidR="2D0480CB" w:rsidRPr="008F27F6"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  <w:t xml:space="preserve"> whose EBUS-TBNA yielded adenocarcinoma or NSCLC-NOS </w:t>
            </w:r>
            <w:r w:rsidR="00BB6BE9" w:rsidRPr="008F27F6"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  <w:t xml:space="preserve">were </w:t>
            </w:r>
            <w:r w:rsidR="2D0480CB" w:rsidRPr="008F27F6"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  <w:t>review</w:t>
            </w:r>
            <w:r w:rsidR="00BB6BE9" w:rsidRPr="008F27F6"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  <w:t>ed</w:t>
            </w:r>
            <w:r w:rsidR="2D0480CB" w:rsidRPr="008F27F6"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  <w:t xml:space="preserve"> to assess </w:t>
            </w:r>
            <w:r w:rsidR="00BB6BE9" w:rsidRPr="008F27F6"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  <w:t>cell block adequacy</w:t>
            </w:r>
            <w:r w:rsidR="2D0480CB" w:rsidRPr="008F27F6"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  <w:t xml:space="preserve"> for </w:t>
            </w:r>
            <w:r w:rsidR="77D67945" w:rsidRPr="008F27F6"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  <w:t xml:space="preserve">molecular </w:t>
            </w:r>
            <w:r w:rsidR="2D0480CB" w:rsidRPr="008F27F6"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  <w:t xml:space="preserve">testing, and if not, whether further procedures </w:t>
            </w:r>
            <w:r w:rsidR="15586DDD" w:rsidRPr="008F27F6">
              <w:rPr>
                <w:rStyle w:val="A4"/>
                <w:rFonts w:eastAsia="Arial"/>
              </w:rPr>
              <w:t>were undertaken</w:t>
            </w:r>
            <w:r w:rsidR="2D0480CB" w:rsidRPr="008F27F6"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  <w:t xml:space="preserve">. Cytologist report of ‘Diff-Quick’ </w:t>
            </w:r>
            <w:r w:rsidR="212B6F7B" w:rsidRPr="008F27F6"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  <w:t>adequacy</w:t>
            </w:r>
            <w:r w:rsidR="2D0480CB" w:rsidRPr="008F27F6"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730C7BEE" w:rsidRPr="008F27F6"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  <w:t>was</w:t>
            </w:r>
            <w:r w:rsidR="2D0480CB" w:rsidRPr="008F27F6"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  <w:t xml:space="preserve"> assessed.</w:t>
            </w:r>
            <w:r w:rsidR="654CD1D1" w:rsidRPr="008F27F6"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  <w:t xml:space="preserve"> ‘Scanty’ Diff-Quick slides were considered inadequate</w:t>
            </w:r>
            <w:r w:rsidR="17A8BC5D" w:rsidRPr="008F27F6"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  <w:t>.</w:t>
            </w:r>
          </w:p>
          <w:p w14:paraId="2B7612FF" w14:textId="4FF30B49" w:rsidR="001564A4" w:rsidRDefault="2C0CB3CD" w:rsidP="008F27F6">
            <w:pPr>
              <w:spacing w:line="259" w:lineRule="auto"/>
              <w:rPr>
                <w:rStyle w:val="A4"/>
                <w:rFonts w:ascii="Arial" w:eastAsia="Arial" w:hAnsi="Arial" w:cs="Arial"/>
                <w:b/>
                <w:bCs/>
              </w:rPr>
            </w:pPr>
            <w:r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Patients </w:t>
            </w:r>
            <w:r w:rsidR="4ADFF138"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 xml:space="preserve">on other studies of molecular testing </w:t>
            </w:r>
            <w:r w:rsidRPr="008F27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AU"/>
              </w:rPr>
              <w:t>were excluded.</w:t>
            </w:r>
            <w:r w:rsidRPr="008F27F6">
              <w:rPr>
                <w:rStyle w:val="A4"/>
                <w:rFonts w:ascii="Arial" w:eastAsia="Arial" w:hAnsi="Arial" w:cs="Arial"/>
                <w:b/>
                <w:bCs/>
              </w:rPr>
              <w:t xml:space="preserve"> </w:t>
            </w:r>
          </w:p>
          <w:p w14:paraId="3E6C5CB5" w14:textId="77777777" w:rsidR="008F27F6" w:rsidRPr="008F27F6" w:rsidRDefault="008F27F6" w:rsidP="008F27F6">
            <w:pPr>
              <w:spacing w:line="259" w:lineRule="auto"/>
              <w:rPr>
                <w:rFonts w:eastAsia="Arial"/>
                <w:color w:val="000000" w:themeColor="text1"/>
                <w:sz w:val="22"/>
                <w:szCs w:val="22"/>
                <w:lang w:val="en-AU"/>
              </w:rPr>
            </w:pPr>
          </w:p>
          <w:p w14:paraId="6BF3F094" w14:textId="0F680EB8" w:rsidR="001564A4" w:rsidRPr="008F27F6" w:rsidRDefault="3CFE60C4" w:rsidP="008F27F6">
            <w:pPr>
              <w:pStyle w:val="Pa12"/>
              <w:rPr>
                <w:rStyle w:val="A4"/>
                <w:rFonts w:eastAsia="Arial"/>
                <w:b/>
                <w:bCs/>
              </w:rPr>
            </w:pPr>
            <w:r w:rsidRPr="008F27F6">
              <w:rPr>
                <w:rStyle w:val="A4"/>
                <w:rFonts w:eastAsia="Arial"/>
                <w:b/>
                <w:bCs/>
              </w:rPr>
              <w:t xml:space="preserve">Results: </w:t>
            </w:r>
          </w:p>
          <w:p w14:paraId="17B7FC31" w14:textId="1F2CFE9A" w:rsidR="001564A4" w:rsidRDefault="2393603F" w:rsidP="008F27F6">
            <w:pPr>
              <w:pStyle w:val="Pa12"/>
              <w:rPr>
                <w:rFonts w:eastAsia="Arial"/>
                <w:sz w:val="22"/>
                <w:szCs w:val="22"/>
              </w:rPr>
            </w:pPr>
            <w:r w:rsidRPr="008F27F6">
              <w:rPr>
                <w:rFonts w:eastAsia="Arial"/>
                <w:sz w:val="22"/>
                <w:szCs w:val="22"/>
              </w:rPr>
              <w:t xml:space="preserve">Ninety-nine patients </w:t>
            </w:r>
            <w:r w:rsidR="00BD5BB6" w:rsidRPr="008F27F6">
              <w:rPr>
                <w:rFonts w:eastAsia="Arial"/>
                <w:sz w:val="22"/>
                <w:szCs w:val="22"/>
              </w:rPr>
              <w:t>had</w:t>
            </w:r>
            <w:r w:rsidR="31CEF1B8" w:rsidRPr="008F27F6">
              <w:rPr>
                <w:rFonts w:eastAsia="Arial"/>
                <w:sz w:val="22"/>
                <w:szCs w:val="22"/>
              </w:rPr>
              <w:t xml:space="preserve"> </w:t>
            </w:r>
            <w:r w:rsidR="0F2DD62D" w:rsidRPr="008F27F6">
              <w:rPr>
                <w:rFonts w:eastAsia="Arial"/>
                <w:sz w:val="22"/>
                <w:szCs w:val="22"/>
              </w:rPr>
              <w:t>malignancy</w:t>
            </w:r>
            <w:r w:rsidR="485341A5" w:rsidRPr="008F27F6">
              <w:rPr>
                <w:rFonts w:eastAsia="Arial"/>
                <w:sz w:val="22"/>
                <w:szCs w:val="22"/>
              </w:rPr>
              <w:t xml:space="preserve"> </w:t>
            </w:r>
            <w:r w:rsidR="028EC672" w:rsidRPr="008F27F6">
              <w:rPr>
                <w:rFonts w:eastAsia="Arial"/>
                <w:sz w:val="22"/>
                <w:szCs w:val="22"/>
              </w:rPr>
              <w:t>requiring molecular analysis</w:t>
            </w:r>
            <w:r w:rsidR="2EDB26FF" w:rsidRPr="008F27F6">
              <w:rPr>
                <w:rFonts w:eastAsia="Arial"/>
                <w:sz w:val="22"/>
                <w:szCs w:val="22"/>
              </w:rPr>
              <w:t>.</w:t>
            </w:r>
            <w:r w:rsidR="05A34DD4" w:rsidRPr="008F27F6">
              <w:rPr>
                <w:rFonts w:eastAsia="Arial"/>
                <w:sz w:val="22"/>
                <w:szCs w:val="22"/>
              </w:rPr>
              <w:t xml:space="preserve"> </w:t>
            </w:r>
            <w:r w:rsidR="004C0534" w:rsidRPr="008F27F6">
              <w:rPr>
                <w:rFonts w:eastAsia="Arial"/>
                <w:sz w:val="22"/>
                <w:szCs w:val="22"/>
              </w:rPr>
              <w:t xml:space="preserve">Cell block </w:t>
            </w:r>
            <w:r w:rsidR="20DD2AA2" w:rsidRPr="008F27F6">
              <w:rPr>
                <w:rFonts w:eastAsia="Arial"/>
                <w:sz w:val="22"/>
                <w:szCs w:val="22"/>
              </w:rPr>
              <w:t xml:space="preserve">Molecular testing was possible </w:t>
            </w:r>
            <w:r w:rsidR="2D6F8A22" w:rsidRPr="008F27F6">
              <w:rPr>
                <w:rFonts w:eastAsia="Arial"/>
                <w:sz w:val="22"/>
                <w:szCs w:val="22"/>
              </w:rPr>
              <w:t>in 75 patients</w:t>
            </w:r>
            <w:r w:rsidR="6FDE31EE" w:rsidRPr="008F27F6">
              <w:rPr>
                <w:rFonts w:eastAsia="Arial"/>
                <w:sz w:val="22"/>
                <w:szCs w:val="22"/>
              </w:rPr>
              <w:t>:</w:t>
            </w:r>
            <w:r w:rsidR="2D6F8A22" w:rsidRPr="008F27F6">
              <w:rPr>
                <w:rFonts w:eastAsia="Arial"/>
                <w:sz w:val="22"/>
                <w:szCs w:val="22"/>
              </w:rPr>
              <w:t xml:space="preserve"> 61</w:t>
            </w:r>
            <w:r w:rsidR="06CCC4EB" w:rsidRPr="008F27F6">
              <w:rPr>
                <w:rFonts w:eastAsia="Arial"/>
                <w:sz w:val="22"/>
                <w:szCs w:val="22"/>
              </w:rPr>
              <w:t xml:space="preserve"> sufficient for </w:t>
            </w:r>
            <w:r w:rsidR="00BA43DA" w:rsidRPr="008F27F6">
              <w:rPr>
                <w:rFonts w:eastAsia="Arial"/>
                <w:sz w:val="22"/>
                <w:szCs w:val="22"/>
              </w:rPr>
              <w:t>NGS</w:t>
            </w:r>
            <w:r w:rsidR="00E26A82" w:rsidRPr="008F27F6">
              <w:rPr>
                <w:rFonts w:eastAsia="Arial"/>
                <w:sz w:val="22"/>
                <w:szCs w:val="22"/>
              </w:rPr>
              <w:t xml:space="preserve"> </w:t>
            </w:r>
            <w:r w:rsidR="2D6F8A22" w:rsidRPr="008F27F6">
              <w:rPr>
                <w:rFonts w:eastAsia="Arial"/>
                <w:sz w:val="22"/>
                <w:szCs w:val="22"/>
              </w:rPr>
              <w:t>panel test</w:t>
            </w:r>
            <w:r w:rsidR="3C684B32" w:rsidRPr="008F27F6">
              <w:rPr>
                <w:rFonts w:eastAsia="Arial"/>
                <w:sz w:val="22"/>
                <w:szCs w:val="22"/>
              </w:rPr>
              <w:t>ing</w:t>
            </w:r>
            <w:r w:rsidR="00D91CA7" w:rsidRPr="008F27F6">
              <w:rPr>
                <w:rFonts w:eastAsia="Arial"/>
                <w:sz w:val="22"/>
                <w:szCs w:val="22"/>
              </w:rPr>
              <w:t>. Only</w:t>
            </w:r>
            <w:r w:rsidR="329C3D2C" w:rsidRPr="008F27F6">
              <w:rPr>
                <w:rFonts w:eastAsia="Arial"/>
                <w:sz w:val="22"/>
                <w:szCs w:val="22"/>
              </w:rPr>
              <w:t xml:space="preserve"> single gene EGFR testing</w:t>
            </w:r>
            <w:r w:rsidR="616F1AE2" w:rsidRPr="008F27F6">
              <w:rPr>
                <w:rFonts w:eastAsia="Arial"/>
                <w:sz w:val="22"/>
                <w:szCs w:val="22"/>
              </w:rPr>
              <w:t xml:space="preserve"> </w:t>
            </w:r>
            <w:r w:rsidR="00D91CA7" w:rsidRPr="008F27F6">
              <w:rPr>
                <w:rFonts w:eastAsia="Arial"/>
                <w:sz w:val="22"/>
                <w:szCs w:val="22"/>
              </w:rPr>
              <w:t xml:space="preserve">was </w:t>
            </w:r>
            <w:r w:rsidR="4643F727" w:rsidRPr="008F27F6">
              <w:rPr>
                <w:rFonts w:eastAsia="Arial"/>
                <w:sz w:val="22"/>
                <w:szCs w:val="22"/>
              </w:rPr>
              <w:t>possible</w:t>
            </w:r>
            <w:r w:rsidR="00D91CA7" w:rsidRPr="008F27F6">
              <w:rPr>
                <w:rFonts w:eastAsia="Arial"/>
                <w:sz w:val="22"/>
                <w:szCs w:val="22"/>
              </w:rPr>
              <w:t xml:space="preserve"> in 14 patients,</w:t>
            </w:r>
            <w:r w:rsidR="4643F727" w:rsidRPr="008F27F6">
              <w:rPr>
                <w:rFonts w:eastAsia="Arial"/>
                <w:sz w:val="22"/>
                <w:szCs w:val="22"/>
              </w:rPr>
              <w:t xml:space="preserve"> </w:t>
            </w:r>
            <w:r w:rsidR="11B4D9D9" w:rsidRPr="008F27F6">
              <w:rPr>
                <w:rFonts w:eastAsia="Arial"/>
                <w:sz w:val="22"/>
                <w:szCs w:val="22"/>
              </w:rPr>
              <w:t>of which</w:t>
            </w:r>
            <w:r w:rsidR="652B7DE0" w:rsidRPr="008F27F6">
              <w:rPr>
                <w:rFonts w:eastAsia="Arial"/>
                <w:sz w:val="22"/>
                <w:szCs w:val="22"/>
              </w:rPr>
              <w:t xml:space="preserve"> </w:t>
            </w:r>
            <w:r w:rsidR="4643F727" w:rsidRPr="008F27F6">
              <w:rPr>
                <w:rFonts w:eastAsia="Arial"/>
                <w:sz w:val="22"/>
                <w:szCs w:val="22"/>
              </w:rPr>
              <w:t>8</w:t>
            </w:r>
            <w:r w:rsidR="3DD9DA11" w:rsidRPr="008F27F6">
              <w:rPr>
                <w:rFonts w:eastAsia="Arial"/>
                <w:sz w:val="22"/>
                <w:szCs w:val="22"/>
              </w:rPr>
              <w:t xml:space="preserve"> </w:t>
            </w:r>
            <w:r w:rsidR="58C79F1E" w:rsidRPr="008F27F6">
              <w:rPr>
                <w:rFonts w:eastAsia="Arial"/>
                <w:sz w:val="22"/>
                <w:szCs w:val="22"/>
              </w:rPr>
              <w:t xml:space="preserve">had </w:t>
            </w:r>
            <w:r w:rsidR="25E46317" w:rsidRPr="008F27F6">
              <w:rPr>
                <w:rFonts w:eastAsia="Arial"/>
                <w:sz w:val="22"/>
                <w:szCs w:val="22"/>
              </w:rPr>
              <w:t>less than</w:t>
            </w:r>
            <w:r w:rsidR="3DD9DA11" w:rsidRPr="008F27F6">
              <w:rPr>
                <w:rFonts w:eastAsia="Arial"/>
                <w:sz w:val="22"/>
                <w:szCs w:val="22"/>
              </w:rPr>
              <w:t xml:space="preserve"> the </w:t>
            </w:r>
            <w:r w:rsidR="6B549440" w:rsidRPr="008F27F6">
              <w:rPr>
                <w:rFonts w:eastAsia="Arial"/>
                <w:sz w:val="22"/>
                <w:szCs w:val="22"/>
              </w:rPr>
              <w:t xml:space="preserve">recommended 20ng </w:t>
            </w:r>
            <w:r w:rsidR="03B6DD7C" w:rsidRPr="008F27F6">
              <w:rPr>
                <w:rFonts w:eastAsia="Arial"/>
                <w:sz w:val="22"/>
                <w:szCs w:val="22"/>
              </w:rPr>
              <w:t>of DNA</w:t>
            </w:r>
            <w:r w:rsidR="6B549440" w:rsidRPr="008F27F6">
              <w:rPr>
                <w:rFonts w:eastAsia="Arial"/>
                <w:sz w:val="22"/>
                <w:szCs w:val="22"/>
              </w:rPr>
              <w:t xml:space="preserve">, </w:t>
            </w:r>
            <w:r w:rsidR="71074C71" w:rsidRPr="008F27F6">
              <w:rPr>
                <w:rFonts w:eastAsia="Arial"/>
                <w:sz w:val="22"/>
                <w:szCs w:val="22"/>
              </w:rPr>
              <w:t>averag</w:t>
            </w:r>
            <w:r w:rsidR="00851F12" w:rsidRPr="008F27F6">
              <w:rPr>
                <w:rFonts w:eastAsia="Arial"/>
                <w:sz w:val="22"/>
                <w:szCs w:val="22"/>
              </w:rPr>
              <w:t>e</w:t>
            </w:r>
            <w:r w:rsidR="6B549440" w:rsidRPr="008F27F6">
              <w:rPr>
                <w:rFonts w:eastAsia="Arial"/>
                <w:sz w:val="22"/>
                <w:szCs w:val="22"/>
              </w:rPr>
              <w:t xml:space="preserve"> </w:t>
            </w:r>
            <w:r w:rsidR="04CEA617" w:rsidRPr="008F27F6">
              <w:rPr>
                <w:rFonts w:eastAsia="Arial"/>
                <w:sz w:val="22"/>
                <w:szCs w:val="22"/>
              </w:rPr>
              <w:t>6.1ng</w:t>
            </w:r>
            <w:r w:rsidR="53ECC1B4" w:rsidRPr="008F27F6">
              <w:rPr>
                <w:rFonts w:eastAsia="Arial"/>
                <w:sz w:val="22"/>
                <w:szCs w:val="22"/>
              </w:rPr>
              <w:t>.</w:t>
            </w:r>
          </w:p>
          <w:p w14:paraId="1E6713AB" w14:textId="77777777" w:rsidR="008F27F6" w:rsidRPr="008F27F6" w:rsidRDefault="008F27F6" w:rsidP="008F27F6">
            <w:pPr>
              <w:pStyle w:val="Default"/>
              <w:rPr>
                <w:rFonts w:eastAsia="Arial"/>
              </w:rPr>
            </w:pPr>
          </w:p>
          <w:p w14:paraId="0861549B" w14:textId="0EC77E89" w:rsidR="001564A4" w:rsidRDefault="328B87C6" w:rsidP="40EA1C8C">
            <w:pPr>
              <w:pStyle w:val="Pa12"/>
              <w:rPr>
                <w:rFonts w:eastAsia="Arial"/>
                <w:sz w:val="22"/>
                <w:szCs w:val="22"/>
              </w:rPr>
            </w:pPr>
            <w:r w:rsidRPr="008F27F6">
              <w:rPr>
                <w:rFonts w:eastAsia="Arial"/>
                <w:sz w:val="22"/>
                <w:szCs w:val="22"/>
              </w:rPr>
              <w:t xml:space="preserve">Of the </w:t>
            </w:r>
            <w:r w:rsidR="3B0C7F61" w:rsidRPr="008F27F6">
              <w:rPr>
                <w:rFonts w:eastAsia="Arial"/>
                <w:sz w:val="22"/>
                <w:szCs w:val="22"/>
              </w:rPr>
              <w:t>24 patients</w:t>
            </w:r>
            <w:r w:rsidR="61D13D24" w:rsidRPr="008F27F6">
              <w:rPr>
                <w:rFonts w:eastAsia="Arial"/>
                <w:sz w:val="22"/>
                <w:szCs w:val="22"/>
              </w:rPr>
              <w:t xml:space="preserve"> (24%)</w:t>
            </w:r>
            <w:r w:rsidR="3B0C7F61" w:rsidRPr="008F27F6">
              <w:rPr>
                <w:rFonts w:eastAsia="Arial"/>
                <w:sz w:val="22"/>
                <w:szCs w:val="22"/>
              </w:rPr>
              <w:t xml:space="preserve"> with insufficient material f</w:t>
            </w:r>
            <w:r w:rsidR="7A15DF58" w:rsidRPr="008F27F6">
              <w:rPr>
                <w:rFonts w:eastAsia="Arial"/>
                <w:sz w:val="22"/>
                <w:szCs w:val="22"/>
              </w:rPr>
              <w:t>or</w:t>
            </w:r>
            <w:r w:rsidR="3B0C7F61" w:rsidRPr="008F27F6">
              <w:rPr>
                <w:rFonts w:eastAsia="Arial"/>
                <w:sz w:val="22"/>
                <w:szCs w:val="22"/>
              </w:rPr>
              <w:t xml:space="preserve"> cell block testing</w:t>
            </w:r>
            <w:r w:rsidR="699FCB1C" w:rsidRPr="008F27F6">
              <w:rPr>
                <w:rFonts w:eastAsia="Arial"/>
                <w:sz w:val="22"/>
                <w:szCs w:val="22"/>
              </w:rPr>
              <w:t>,</w:t>
            </w:r>
            <w:r w:rsidR="3B0C7F61" w:rsidRPr="008F27F6">
              <w:rPr>
                <w:rFonts w:eastAsia="Arial"/>
                <w:sz w:val="22"/>
                <w:szCs w:val="22"/>
              </w:rPr>
              <w:t xml:space="preserve"> </w:t>
            </w:r>
            <w:r w:rsidR="4FFEAD6E" w:rsidRPr="008F27F6">
              <w:rPr>
                <w:rFonts w:eastAsia="Arial"/>
                <w:sz w:val="22"/>
                <w:szCs w:val="22"/>
              </w:rPr>
              <w:t>20 had</w:t>
            </w:r>
            <w:r w:rsidR="3B0C7F61" w:rsidRPr="008F27F6">
              <w:rPr>
                <w:rFonts w:eastAsia="Arial"/>
                <w:sz w:val="22"/>
                <w:szCs w:val="22"/>
              </w:rPr>
              <w:t xml:space="preserve"> </w:t>
            </w:r>
            <w:r w:rsidR="79B16492" w:rsidRPr="008F27F6">
              <w:rPr>
                <w:rFonts w:eastAsia="Arial"/>
                <w:sz w:val="22"/>
                <w:szCs w:val="22"/>
              </w:rPr>
              <w:t>adequate ‘</w:t>
            </w:r>
            <w:r w:rsidR="71B2C2CB" w:rsidRPr="008F27F6">
              <w:rPr>
                <w:rFonts w:eastAsia="Arial"/>
                <w:sz w:val="22"/>
                <w:szCs w:val="22"/>
              </w:rPr>
              <w:t>Diff-Quick</w:t>
            </w:r>
            <w:r w:rsidR="79B16492" w:rsidRPr="008F27F6">
              <w:rPr>
                <w:rFonts w:eastAsia="Arial"/>
                <w:sz w:val="22"/>
                <w:szCs w:val="22"/>
              </w:rPr>
              <w:t>’ cytology results</w:t>
            </w:r>
            <w:r w:rsidR="17002780" w:rsidRPr="008F27F6">
              <w:rPr>
                <w:rFonts w:eastAsia="Arial"/>
                <w:sz w:val="22"/>
                <w:szCs w:val="22"/>
              </w:rPr>
              <w:t>.</w:t>
            </w:r>
            <w:r w:rsidR="0536D5B0" w:rsidRPr="008F27F6">
              <w:rPr>
                <w:rFonts w:eastAsia="Arial"/>
                <w:sz w:val="22"/>
                <w:szCs w:val="22"/>
              </w:rPr>
              <w:t xml:space="preserve"> </w:t>
            </w:r>
            <w:r w:rsidR="003C2F5A" w:rsidRPr="008F27F6">
              <w:rPr>
                <w:rFonts w:eastAsia="Arial"/>
                <w:sz w:val="22"/>
                <w:szCs w:val="22"/>
              </w:rPr>
              <w:t>Of these</w:t>
            </w:r>
            <w:r w:rsidR="0536D5B0" w:rsidRPr="008F27F6">
              <w:rPr>
                <w:rFonts w:eastAsia="Arial"/>
                <w:sz w:val="22"/>
                <w:szCs w:val="22"/>
              </w:rPr>
              <w:t xml:space="preserve"> </w:t>
            </w:r>
            <w:r w:rsidR="00F46A25" w:rsidRPr="008F27F6">
              <w:rPr>
                <w:rFonts w:eastAsia="Arial"/>
                <w:sz w:val="22"/>
                <w:szCs w:val="22"/>
              </w:rPr>
              <w:t xml:space="preserve">13 </w:t>
            </w:r>
            <w:r w:rsidR="6CDC5C15" w:rsidRPr="008F27F6">
              <w:rPr>
                <w:rFonts w:eastAsia="Arial"/>
                <w:sz w:val="22"/>
                <w:szCs w:val="22"/>
              </w:rPr>
              <w:t>underwent further</w:t>
            </w:r>
            <w:r w:rsidR="0C77A090" w:rsidRPr="008F27F6">
              <w:rPr>
                <w:rFonts w:eastAsia="Arial"/>
                <w:sz w:val="22"/>
                <w:szCs w:val="22"/>
              </w:rPr>
              <w:t xml:space="preserve"> </w:t>
            </w:r>
            <w:r w:rsidR="0280A013" w:rsidRPr="008F27F6">
              <w:rPr>
                <w:rFonts w:eastAsia="Arial"/>
                <w:sz w:val="22"/>
                <w:szCs w:val="22"/>
              </w:rPr>
              <w:t>p</w:t>
            </w:r>
            <w:r w:rsidR="0536D5B0" w:rsidRPr="008F27F6">
              <w:rPr>
                <w:rFonts w:eastAsia="Arial"/>
                <w:sz w:val="22"/>
                <w:szCs w:val="22"/>
              </w:rPr>
              <w:t xml:space="preserve">rocedures </w:t>
            </w:r>
            <w:r w:rsidR="117DA3CA" w:rsidRPr="008F27F6">
              <w:rPr>
                <w:rFonts w:eastAsia="Arial"/>
                <w:sz w:val="22"/>
                <w:szCs w:val="22"/>
              </w:rPr>
              <w:t xml:space="preserve">– </w:t>
            </w:r>
            <w:r w:rsidR="6E1C0D51" w:rsidRPr="008F27F6">
              <w:rPr>
                <w:rFonts w:eastAsia="Arial"/>
                <w:sz w:val="22"/>
                <w:szCs w:val="22"/>
              </w:rPr>
              <w:t>8</w:t>
            </w:r>
            <w:r w:rsidR="117DA3CA" w:rsidRPr="008F27F6">
              <w:rPr>
                <w:rFonts w:eastAsia="Arial"/>
                <w:sz w:val="22"/>
                <w:szCs w:val="22"/>
              </w:rPr>
              <w:t xml:space="preserve"> bronchoscopies, </w:t>
            </w:r>
            <w:r w:rsidR="708D4AAB" w:rsidRPr="008F27F6">
              <w:rPr>
                <w:rFonts w:eastAsia="Arial"/>
                <w:sz w:val="22"/>
                <w:szCs w:val="22"/>
              </w:rPr>
              <w:t>3</w:t>
            </w:r>
            <w:r w:rsidR="117DA3CA" w:rsidRPr="008F27F6">
              <w:rPr>
                <w:rFonts w:eastAsia="Arial"/>
                <w:sz w:val="22"/>
                <w:szCs w:val="22"/>
              </w:rPr>
              <w:t xml:space="preserve"> CT</w:t>
            </w:r>
            <w:r w:rsidR="0EFEA43C" w:rsidRPr="008F27F6">
              <w:rPr>
                <w:rFonts w:eastAsia="Arial"/>
                <w:sz w:val="22"/>
                <w:szCs w:val="22"/>
              </w:rPr>
              <w:t>-</w:t>
            </w:r>
            <w:r w:rsidR="117DA3CA" w:rsidRPr="008F27F6">
              <w:rPr>
                <w:rFonts w:eastAsia="Arial"/>
                <w:sz w:val="22"/>
                <w:szCs w:val="22"/>
              </w:rPr>
              <w:t xml:space="preserve">guided biopsies, </w:t>
            </w:r>
            <w:r w:rsidR="62D322FC" w:rsidRPr="008F27F6">
              <w:rPr>
                <w:rFonts w:eastAsia="Arial"/>
                <w:sz w:val="22"/>
                <w:szCs w:val="22"/>
              </w:rPr>
              <w:t>2</w:t>
            </w:r>
            <w:r w:rsidR="6F3701BE" w:rsidRPr="008F27F6">
              <w:rPr>
                <w:rFonts w:eastAsia="Arial"/>
                <w:sz w:val="22"/>
                <w:szCs w:val="22"/>
              </w:rPr>
              <w:t xml:space="preserve"> musculoskeletal biopsies</w:t>
            </w:r>
            <w:r w:rsidR="2D4699AF" w:rsidRPr="008F27F6">
              <w:rPr>
                <w:rFonts w:eastAsia="Arial"/>
                <w:sz w:val="22"/>
                <w:szCs w:val="22"/>
              </w:rPr>
              <w:t xml:space="preserve">. </w:t>
            </w:r>
            <w:r w:rsidR="7DDA3773" w:rsidRPr="008F27F6">
              <w:rPr>
                <w:rFonts w:eastAsia="Arial"/>
                <w:sz w:val="22"/>
                <w:szCs w:val="22"/>
              </w:rPr>
              <w:t xml:space="preserve">Of the 8 repeat bronchoscopies, </w:t>
            </w:r>
            <w:r w:rsidR="32F9591F" w:rsidRPr="008F27F6">
              <w:rPr>
                <w:rFonts w:eastAsia="Arial"/>
                <w:sz w:val="22"/>
                <w:szCs w:val="22"/>
              </w:rPr>
              <w:t>2</w:t>
            </w:r>
            <w:r w:rsidR="7DDA3773" w:rsidRPr="008F27F6">
              <w:rPr>
                <w:rFonts w:eastAsia="Arial"/>
                <w:sz w:val="22"/>
                <w:szCs w:val="22"/>
              </w:rPr>
              <w:t xml:space="preserve"> </w:t>
            </w:r>
            <w:r w:rsidR="1DA1CB92" w:rsidRPr="008F27F6">
              <w:rPr>
                <w:rFonts w:eastAsia="Arial"/>
                <w:sz w:val="22"/>
                <w:szCs w:val="22"/>
              </w:rPr>
              <w:t xml:space="preserve">were </w:t>
            </w:r>
            <w:r w:rsidR="159C7BB6" w:rsidRPr="008F27F6">
              <w:rPr>
                <w:rFonts w:eastAsia="Arial"/>
                <w:sz w:val="22"/>
                <w:szCs w:val="22"/>
              </w:rPr>
              <w:t xml:space="preserve">again </w:t>
            </w:r>
            <w:r w:rsidR="0F5A7D83" w:rsidRPr="008F27F6">
              <w:rPr>
                <w:rFonts w:eastAsia="Arial"/>
                <w:sz w:val="22"/>
                <w:szCs w:val="22"/>
              </w:rPr>
              <w:t>insufficient.</w:t>
            </w:r>
            <w:r w:rsidR="1B8927AE" w:rsidRPr="008F27F6">
              <w:rPr>
                <w:rFonts w:eastAsia="Arial"/>
                <w:sz w:val="22"/>
                <w:szCs w:val="22"/>
              </w:rPr>
              <w:t xml:space="preserve"> All repeat procedures had adequate material on </w:t>
            </w:r>
            <w:r w:rsidR="34058623" w:rsidRPr="008F27F6">
              <w:rPr>
                <w:rFonts w:eastAsia="Arial"/>
                <w:sz w:val="22"/>
                <w:szCs w:val="22"/>
              </w:rPr>
              <w:t>“</w:t>
            </w:r>
            <w:r w:rsidR="1B8927AE" w:rsidRPr="008F27F6">
              <w:rPr>
                <w:rFonts w:eastAsia="Arial"/>
                <w:sz w:val="22"/>
                <w:szCs w:val="22"/>
              </w:rPr>
              <w:t>Di</w:t>
            </w:r>
            <w:r w:rsidR="0C13651C" w:rsidRPr="008F27F6">
              <w:rPr>
                <w:rFonts w:eastAsia="Arial"/>
                <w:sz w:val="22"/>
                <w:szCs w:val="22"/>
              </w:rPr>
              <w:t>ff</w:t>
            </w:r>
            <w:r w:rsidR="10D0B8E8" w:rsidRPr="008F27F6">
              <w:rPr>
                <w:rFonts w:eastAsia="Arial"/>
                <w:sz w:val="22"/>
                <w:szCs w:val="22"/>
              </w:rPr>
              <w:t>-Quick"</w:t>
            </w:r>
            <w:r w:rsidR="0C13651C" w:rsidRPr="008F27F6">
              <w:rPr>
                <w:rFonts w:eastAsia="Arial"/>
                <w:sz w:val="22"/>
                <w:szCs w:val="22"/>
              </w:rPr>
              <w:t xml:space="preserve">. </w:t>
            </w:r>
          </w:p>
          <w:p w14:paraId="2D0B7273" w14:textId="77777777" w:rsidR="008F27F6" w:rsidRPr="008F27F6" w:rsidRDefault="008F27F6" w:rsidP="008F27F6">
            <w:pPr>
              <w:pStyle w:val="Default"/>
              <w:rPr>
                <w:rFonts w:eastAsia="Arial"/>
              </w:rPr>
            </w:pPr>
          </w:p>
          <w:p w14:paraId="5E4228C1" w14:textId="6A6A954C" w:rsidR="008F27F6" w:rsidRPr="008F27F6" w:rsidRDefault="3CFE60C4" w:rsidP="008F27F6">
            <w:pPr>
              <w:pStyle w:val="Pa12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 w:rsidRPr="008F27F6">
              <w:rPr>
                <w:rStyle w:val="A4"/>
                <w:rFonts w:eastAsia="Arial"/>
                <w:b/>
                <w:bCs/>
              </w:rPr>
              <w:t xml:space="preserve">Conclusion: </w:t>
            </w:r>
          </w:p>
          <w:p w14:paraId="3BFCF066" w14:textId="590884F5" w:rsidR="001564A4" w:rsidRPr="008F27F6" w:rsidRDefault="5B636D9D" w:rsidP="40EA1C8C">
            <w:pPr>
              <w:pStyle w:val="Pa12"/>
              <w:rPr>
                <w:rStyle w:val="A4"/>
                <w:rFonts w:eastAsia="Arial"/>
              </w:rPr>
            </w:pPr>
            <w:r w:rsidRPr="008F27F6">
              <w:rPr>
                <w:sz w:val="22"/>
                <w:szCs w:val="22"/>
              </w:rPr>
              <w:t>Inadequate</w:t>
            </w:r>
            <w:r w:rsidR="00F24AF6" w:rsidRPr="008F27F6">
              <w:rPr>
                <w:sz w:val="22"/>
                <w:szCs w:val="22"/>
              </w:rPr>
              <w:t xml:space="preserve"> cell blocks</w:t>
            </w:r>
            <w:r w:rsidR="02E407D3" w:rsidRPr="008F27F6">
              <w:rPr>
                <w:sz w:val="22"/>
                <w:szCs w:val="22"/>
              </w:rPr>
              <w:t xml:space="preserve"> </w:t>
            </w:r>
            <w:r w:rsidR="00F24AF6" w:rsidRPr="008F27F6">
              <w:rPr>
                <w:sz w:val="22"/>
                <w:szCs w:val="22"/>
              </w:rPr>
              <w:t>for</w:t>
            </w:r>
            <w:r w:rsidR="2418A32D" w:rsidRPr="008F27F6">
              <w:rPr>
                <w:sz w:val="22"/>
                <w:szCs w:val="22"/>
              </w:rPr>
              <w:t xml:space="preserve"> </w:t>
            </w:r>
            <w:r w:rsidR="2A0ABCE6" w:rsidRPr="008F27F6">
              <w:rPr>
                <w:sz w:val="22"/>
                <w:szCs w:val="22"/>
              </w:rPr>
              <w:t xml:space="preserve">molecular testing </w:t>
            </w:r>
            <w:r w:rsidR="6913DD8B" w:rsidRPr="008F27F6">
              <w:rPr>
                <w:sz w:val="22"/>
                <w:szCs w:val="22"/>
              </w:rPr>
              <w:t>is common</w:t>
            </w:r>
            <w:r w:rsidR="2415C75C" w:rsidRPr="008F27F6">
              <w:rPr>
                <w:sz w:val="22"/>
                <w:szCs w:val="22"/>
              </w:rPr>
              <w:t xml:space="preserve">. </w:t>
            </w:r>
            <w:r w:rsidR="5DD939C1" w:rsidRPr="008F27F6">
              <w:rPr>
                <w:sz w:val="22"/>
                <w:szCs w:val="22"/>
              </w:rPr>
              <w:t xml:space="preserve">Most </w:t>
            </w:r>
            <w:r w:rsidR="2D9B26FF" w:rsidRPr="008F27F6">
              <w:rPr>
                <w:sz w:val="22"/>
                <w:szCs w:val="22"/>
              </w:rPr>
              <w:t>such</w:t>
            </w:r>
            <w:r w:rsidR="2415C75C" w:rsidRPr="008F27F6">
              <w:rPr>
                <w:sz w:val="22"/>
                <w:szCs w:val="22"/>
              </w:rPr>
              <w:t xml:space="preserve"> cases have ade</w:t>
            </w:r>
            <w:r w:rsidR="2F5D8E1C" w:rsidRPr="008F27F6">
              <w:rPr>
                <w:sz w:val="22"/>
                <w:szCs w:val="22"/>
              </w:rPr>
              <w:t xml:space="preserve">quate tissue on </w:t>
            </w:r>
            <w:r w:rsidR="42B42018" w:rsidRPr="008F27F6">
              <w:rPr>
                <w:sz w:val="22"/>
                <w:szCs w:val="22"/>
              </w:rPr>
              <w:t>Diff</w:t>
            </w:r>
            <w:r w:rsidR="2F5D8E1C" w:rsidRPr="008F27F6">
              <w:rPr>
                <w:sz w:val="22"/>
                <w:szCs w:val="22"/>
              </w:rPr>
              <w:t>-</w:t>
            </w:r>
            <w:r w:rsidR="6B8560CB" w:rsidRPr="008F27F6">
              <w:rPr>
                <w:sz w:val="22"/>
                <w:szCs w:val="22"/>
              </w:rPr>
              <w:t xml:space="preserve">Quick </w:t>
            </w:r>
            <w:r w:rsidR="2F5D8E1C" w:rsidRPr="008F27F6">
              <w:rPr>
                <w:sz w:val="22"/>
                <w:szCs w:val="22"/>
              </w:rPr>
              <w:t>slides</w:t>
            </w:r>
            <w:r w:rsidR="17FBCBA1" w:rsidRPr="008F27F6">
              <w:rPr>
                <w:sz w:val="22"/>
                <w:szCs w:val="22"/>
              </w:rPr>
              <w:t xml:space="preserve"> </w:t>
            </w:r>
            <w:r w:rsidR="003F63E3" w:rsidRPr="008F27F6">
              <w:rPr>
                <w:sz w:val="22"/>
                <w:szCs w:val="22"/>
              </w:rPr>
              <w:t>which could</w:t>
            </w:r>
            <w:r w:rsidR="17FBCBA1" w:rsidRPr="008F27F6">
              <w:rPr>
                <w:sz w:val="22"/>
                <w:szCs w:val="22"/>
              </w:rPr>
              <w:t xml:space="preserve"> allow molecular testing</w:t>
            </w:r>
            <w:r w:rsidR="1357F8BC" w:rsidRPr="008F27F6">
              <w:rPr>
                <w:sz w:val="22"/>
                <w:szCs w:val="22"/>
              </w:rPr>
              <w:t>.</w:t>
            </w:r>
            <w:r w:rsidR="3189F516" w:rsidRPr="008F27F6">
              <w:rPr>
                <w:sz w:val="22"/>
                <w:szCs w:val="22"/>
              </w:rPr>
              <w:t xml:space="preserve"> </w:t>
            </w:r>
            <w:r w:rsidR="00233A65" w:rsidRPr="008F27F6">
              <w:rPr>
                <w:sz w:val="22"/>
                <w:szCs w:val="22"/>
              </w:rPr>
              <w:t>Using slides</w:t>
            </w:r>
            <w:r w:rsidR="6C30E673" w:rsidRPr="008F27F6">
              <w:rPr>
                <w:sz w:val="22"/>
                <w:szCs w:val="22"/>
              </w:rPr>
              <w:t xml:space="preserve"> could </w:t>
            </w:r>
            <w:r w:rsidR="070B3556" w:rsidRPr="008F27F6">
              <w:rPr>
                <w:sz w:val="22"/>
                <w:szCs w:val="22"/>
              </w:rPr>
              <w:t>reduce the costs and risks of repeat procedures</w:t>
            </w:r>
            <w:r w:rsidR="5D57EE67" w:rsidRPr="008F27F6">
              <w:rPr>
                <w:sz w:val="22"/>
                <w:szCs w:val="22"/>
              </w:rPr>
              <w:t>.</w:t>
            </w:r>
          </w:p>
          <w:p w14:paraId="071F4831" w14:textId="77777777" w:rsidR="008F27F6" w:rsidRPr="008F27F6" w:rsidRDefault="008F27F6" w:rsidP="003E6535">
            <w:pPr>
              <w:pStyle w:val="Default"/>
              <w:rPr>
                <w:sz w:val="22"/>
                <w:szCs w:val="22"/>
              </w:rPr>
            </w:pPr>
          </w:p>
          <w:p w14:paraId="3E8B4283" w14:textId="0ADAD481" w:rsidR="001564A4" w:rsidRPr="008F27F6" w:rsidRDefault="3CFE60C4" w:rsidP="7E283F22">
            <w:pPr>
              <w:pStyle w:val="Pa12"/>
              <w:rPr>
                <w:rStyle w:val="A4"/>
                <w:rFonts w:eastAsia="Arial"/>
                <w:b/>
                <w:bCs/>
              </w:rPr>
            </w:pPr>
            <w:r w:rsidRPr="008F27F6">
              <w:rPr>
                <w:rStyle w:val="A4"/>
                <w:rFonts w:eastAsia="Arial"/>
                <w:b/>
                <w:bCs/>
              </w:rPr>
              <w:t xml:space="preserve">Grant Support: </w:t>
            </w:r>
          </w:p>
          <w:p w14:paraId="5F58D34F" w14:textId="6A4289DD" w:rsidR="001564A4" w:rsidRPr="003E6535" w:rsidRDefault="13CB10EB" w:rsidP="40EA1C8C">
            <w:pPr>
              <w:pStyle w:val="Pa12"/>
              <w:rPr>
                <w:sz w:val="16"/>
                <w:szCs w:val="16"/>
                <w:lang w:val="en-US" w:eastAsia="en-GB"/>
              </w:rPr>
            </w:pPr>
            <w:r w:rsidRPr="008F27F6">
              <w:rPr>
                <w:sz w:val="22"/>
                <w:szCs w:val="22"/>
              </w:rPr>
              <w:t>N</w:t>
            </w:r>
            <w:r w:rsidR="4DDABB87" w:rsidRPr="008F27F6">
              <w:rPr>
                <w:sz w:val="22"/>
                <w:szCs w:val="22"/>
              </w:rPr>
              <w:t>il</w:t>
            </w:r>
          </w:p>
        </w:tc>
      </w:tr>
    </w:tbl>
    <w:p w14:paraId="7C36A9DC" w14:textId="53473AFA" w:rsidR="00E0700F" w:rsidRPr="003E6535" w:rsidRDefault="00E0700F" w:rsidP="77F8D886">
      <w:pPr>
        <w:rPr>
          <w:sz w:val="16"/>
          <w:szCs w:val="16"/>
        </w:rPr>
      </w:pPr>
    </w:p>
    <w:sectPr w:rsidR="00E0700F" w:rsidRPr="003E6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839C1"/>
    <w:rsid w:val="001564A4"/>
    <w:rsid w:val="00190D57"/>
    <w:rsid w:val="00233A65"/>
    <w:rsid w:val="002D074C"/>
    <w:rsid w:val="00351135"/>
    <w:rsid w:val="003B31B2"/>
    <w:rsid w:val="003C2F5A"/>
    <w:rsid w:val="003E6535"/>
    <w:rsid w:val="003F63E3"/>
    <w:rsid w:val="004C0534"/>
    <w:rsid w:val="0051574E"/>
    <w:rsid w:val="00571209"/>
    <w:rsid w:val="00650098"/>
    <w:rsid w:val="006B33BE"/>
    <w:rsid w:val="007A0AC3"/>
    <w:rsid w:val="00851F12"/>
    <w:rsid w:val="00855E3D"/>
    <w:rsid w:val="008803FA"/>
    <w:rsid w:val="008F27F6"/>
    <w:rsid w:val="00A12D2D"/>
    <w:rsid w:val="00B12E32"/>
    <w:rsid w:val="00B779E2"/>
    <w:rsid w:val="00B924B8"/>
    <w:rsid w:val="00BA43DA"/>
    <w:rsid w:val="00BB6BE9"/>
    <w:rsid w:val="00BD5BB6"/>
    <w:rsid w:val="00C53438"/>
    <w:rsid w:val="00C5597B"/>
    <w:rsid w:val="00CC5F3F"/>
    <w:rsid w:val="00D46F77"/>
    <w:rsid w:val="00D91CA7"/>
    <w:rsid w:val="00D96FBE"/>
    <w:rsid w:val="00DD21DF"/>
    <w:rsid w:val="00E0700F"/>
    <w:rsid w:val="00E26A82"/>
    <w:rsid w:val="00F24AF6"/>
    <w:rsid w:val="00F46A25"/>
    <w:rsid w:val="00FF7C6E"/>
    <w:rsid w:val="0159054A"/>
    <w:rsid w:val="015DBD1E"/>
    <w:rsid w:val="01BCADB4"/>
    <w:rsid w:val="01EB8C3B"/>
    <w:rsid w:val="02060E35"/>
    <w:rsid w:val="027D00EE"/>
    <w:rsid w:val="0280A013"/>
    <w:rsid w:val="028EC672"/>
    <w:rsid w:val="02D11A41"/>
    <w:rsid w:val="02D64851"/>
    <w:rsid w:val="02E407D3"/>
    <w:rsid w:val="034E097B"/>
    <w:rsid w:val="03AA10B9"/>
    <w:rsid w:val="03B6DD7C"/>
    <w:rsid w:val="040F3AE7"/>
    <w:rsid w:val="046CEAA2"/>
    <w:rsid w:val="04757E28"/>
    <w:rsid w:val="04A1E60B"/>
    <w:rsid w:val="04CEA617"/>
    <w:rsid w:val="05033544"/>
    <w:rsid w:val="05096611"/>
    <w:rsid w:val="0536D5B0"/>
    <w:rsid w:val="053DAEF7"/>
    <w:rsid w:val="05A34DD4"/>
    <w:rsid w:val="05D6C2FC"/>
    <w:rsid w:val="05E8D2C3"/>
    <w:rsid w:val="0606773E"/>
    <w:rsid w:val="06114E89"/>
    <w:rsid w:val="066A22AD"/>
    <w:rsid w:val="066B9FAC"/>
    <w:rsid w:val="06C57084"/>
    <w:rsid w:val="06CCC4EB"/>
    <w:rsid w:val="070B3556"/>
    <w:rsid w:val="0763F626"/>
    <w:rsid w:val="076467C3"/>
    <w:rsid w:val="07A50B45"/>
    <w:rsid w:val="07BF9BAE"/>
    <w:rsid w:val="0895B613"/>
    <w:rsid w:val="08CABEAF"/>
    <w:rsid w:val="08FFC687"/>
    <w:rsid w:val="0950338E"/>
    <w:rsid w:val="09B38EC3"/>
    <w:rsid w:val="0A9B96E8"/>
    <w:rsid w:val="0AE4BFAC"/>
    <w:rsid w:val="0BB1CB4D"/>
    <w:rsid w:val="0BD4E7C6"/>
    <w:rsid w:val="0C13651C"/>
    <w:rsid w:val="0C588AB9"/>
    <w:rsid w:val="0C77A090"/>
    <w:rsid w:val="0CC6DCBA"/>
    <w:rsid w:val="0CF43F95"/>
    <w:rsid w:val="0D622D1C"/>
    <w:rsid w:val="0D89E97D"/>
    <w:rsid w:val="0E77CB1B"/>
    <w:rsid w:val="0E8E052C"/>
    <w:rsid w:val="0EEC7EC3"/>
    <w:rsid w:val="0EFEA43C"/>
    <w:rsid w:val="0F2DD62D"/>
    <w:rsid w:val="0F2E504D"/>
    <w:rsid w:val="0F3D91D0"/>
    <w:rsid w:val="0F5A7D83"/>
    <w:rsid w:val="0F6F080B"/>
    <w:rsid w:val="0F832209"/>
    <w:rsid w:val="0FCA15C6"/>
    <w:rsid w:val="1019B021"/>
    <w:rsid w:val="10D0B8E8"/>
    <w:rsid w:val="117DA3CA"/>
    <w:rsid w:val="11B4D9D9"/>
    <w:rsid w:val="12241F85"/>
    <w:rsid w:val="1279FB80"/>
    <w:rsid w:val="1357F8BC"/>
    <w:rsid w:val="136B0AD8"/>
    <w:rsid w:val="13928098"/>
    <w:rsid w:val="13CB10EB"/>
    <w:rsid w:val="13E3D9FD"/>
    <w:rsid w:val="142F21D0"/>
    <w:rsid w:val="148AFBF2"/>
    <w:rsid w:val="14E8A38E"/>
    <w:rsid w:val="15586DDD"/>
    <w:rsid w:val="159C7BB6"/>
    <w:rsid w:val="15AFCF0E"/>
    <w:rsid w:val="1626CC53"/>
    <w:rsid w:val="16F2B980"/>
    <w:rsid w:val="17002780"/>
    <w:rsid w:val="171B3546"/>
    <w:rsid w:val="178FC405"/>
    <w:rsid w:val="17973E1B"/>
    <w:rsid w:val="17A8BC5D"/>
    <w:rsid w:val="17AAF748"/>
    <w:rsid w:val="17BF6750"/>
    <w:rsid w:val="17FBCBA1"/>
    <w:rsid w:val="18936109"/>
    <w:rsid w:val="18A28DBA"/>
    <w:rsid w:val="18B74B20"/>
    <w:rsid w:val="18C34460"/>
    <w:rsid w:val="18F8F72A"/>
    <w:rsid w:val="193BF16D"/>
    <w:rsid w:val="1975018E"/>
    <w:rsid w:val="197DA987"/>
    <w:rsid w:val="198088B4"/>
    <w:rsid w:val="1A2A5A42"/>
    <w:rsid w:val="1A31A74F"/>
    <w:rsid w:val="1A834031"/>
    <w:rsid w:val="1B1979E8"/>
    <w:rsid w:val="1B4A8016"/>
    <w:rsid w:val="1B602979"/>
    <w:rsid w:val="1B86FFBD"/>
    <w:rsid w:val="1B8927AE"/>
    <w:rsid w:val="1C02EC7B"/>
    <w:rsid w:val="1CB54A49"/>
    <w:rsid w:val="1D0864A7"/>
    <w:rsid w:val="1D2B6C75"/>
    <w:rsid w:val="1DA1CB92"/>
    <w:rsid w:val="1DD1C049"/>
    <w:rsid w:val="1DE90608"/>
    <w:rsid w:val="1E52AB3A"/>
    <w:rsid w:val="1F52CA15"/>
    <w:rsid w:val="1F6D90AA"/>
    <w:rsid w:val="1FECEB0B"/>
    <w:rsid w:val="209E72EE"/>
    <w:rsid w:val="20A934A8"/>
    <w:rsid w:val="20DD2AA2"/>
    <w:rsid w:val="2100D8A8"/>
    <w:rsid w:val="21034052"/>
    <w:rsid w:val="2108A8BA"/>
    <w:rsid w:val="212B6F7B"/>
    <w:rsid w:val="21C3F88D"/>
    <w:rsid w:val="223047A3"/>
    <w:rsid w:val="223FF8A1"/>
    <w:rsid w:val="229A95B5"/>
    <w:rsid w:val="23076832"/>
    <w:rsid w:val="2383D5B8"/>
    <w:rsid w:val="2393603F"/>
    <w:rsid w:val="2410FA1A"/>
    <w:rsid w:val="2415C75C"/>
    <w:rsid w:val="2418A32D"/>
    <w:rsid w:val="25080B0C"/>
    <w:rsid w:val="2513AEDD"/>
    <w:rsid w:val="2533378E"/>
    <w:rsid w:val="258CB73D"/>
    <w:rsid w:val="25929EEA"/>
    <w:rsid w:val="259FD6F5"/>
    <w:rsid w:val="25B6F378"/>
    <w:rsid w:val="25E46317"/>
    <w:rsid w:val="260B3902"/>
    <w:rsid w:val="2617E359"/>
    <w:rsid w:val="26A3DB6D"/>
    <w:rsid w:val="26AF7F3E"/>
    <w:rsid w:val="26BE9793"/>
    <w:rsid w:val="276A75FA"/>
    <w:rsid w:val="284F90B3"/>
    <w:rsid w:val="28F7BDC3"/>
    <w:rsid w:val="2909D739"/>
    <w:rsid w:val="2941B830"/>
    <w:rsid w:val="299BD655"/>
    <w:rsid w:val="29BC6AC9"/>
    <w:rsid w:val="29C7759C"/>
    <w:rsid w:val="2A0995D3"/>
    <w:rsid w:val="2A0ABCE6"/>
    <w:rsid w:val="2AA5A79A"/>
    <w:rsid w:val="2B740447"/>
    <w:rsid w:val="2BCA26B5"/>
    <w:rsid w:val="2C0CB3CD"/>
    <w:rsid w:val="2C24F162"/>
    <w:rsid w:val="2C97FCE7"/>
    <w:rsid w:val="2CA2E10D"/>
    <w:rsid w:val="2CB420C7"/>
    <w:rsid w:val="2CC9DC44"/>
    <w:rsid w:val="2CD25A31"/>
    <w:rsid w:val="2CF2DF5F"/>
    <w:rsid w:val="2D0480CB"/>
    <w:rsid w:val="2D252DF7"/>
    <w:rsid w:val="2D4699AF"/>
    <w:rsid w:val="2D6F8A22"/>
    <w:rsid w:val="2D9B26FF"/>
    <w:rsid w:val="2DA0842E"/>
    <w:rsid w:val="2DCE0365"/>
    <w:rsid w:val="2DDD485C"/>
    <w:rsid w:val="2E52B964"/>
    <w:rsid w:val="2E881150"/>
    <w:rsid w:val="2EDB26FF"/>
    <w:rsid w:val="2F5D8E1C"/>
    <w:rsid w:val="2F69D3C6"/>
    <w:rsid w:val="2F7918BD"/>
    <w:rsid w:val="2FDBDDB4"/>
    <w:rsid w:val="30FF4B33"/>
    <w:rsid w:val="313921D8"/>
    <w:rsid w:val="3189F516"/>
    <w:rsid w:val="31C268B5"/>
    <w:rsid w:val="31CA17B8"/>
    <w:rsid w:val="31CEF1B8"/>
    <w:rsid w:val="320755A4"/>
    <w:rsid w:val="328B87C6"/>
    <w:rsid w:val="329C3D2C"/>
    <w:rsid w:val="32B8A705"/>
    <w:rsid w:val="32F9591F"/>
    <w:rsid w:val="335AE506"/>
    <w:rsid w:val="339F7865"/>
    <w:rsid w:val="33F60DBB"/>
    <w:rsid w:val="34058623"/>
    <w:rsid w:val="3418295A"/>
    <w:rsid w:val="34547766"/>
    <w:rsid w:val="34C6D210"/>
    <w:rsid w:val="34FC5BA5"/>
    <w:rsid w:val="35DC150E"/>
    <w:rsid w:val="35F047C7"/>
    <w:rsid w:val="36A85462"/>
    <w:rsid w:val="36B8589D"/>
    <w:rsid w:val="36D56022"/>
    <w:rsid w:val="376B42BD"/>
    <w:rsid w:val="37FCE5E3"/>
    <w:rsid w:val="3833FC67"/>
    <w:rsid w:val="3839593C"/>
    <w:rsid w:val="3866817F"/>
    <w:rsid w:val="3888F72D"/>
    <w:rsid w:val="38919A0E"/>
    <w:rsid w:val="390563FD"/>
    <w:rsid w:val="39904787"/>
    <w:rsid w:val="39B8376B"/>
    <w:rsid w:val="3A630B7A"/>
    <w:rsid w:val="3AB5E036"/>
    <w:rsid w:val="3AC3B8EA"/>
    <w:rsid w:val="3B027D28"/>
    <w:rsid w:val="3B0C7F61"/>
    <w:rsid w:val="3B232A54"/>
    <w:rsid w:val="3B785354"/>
    <w:rsid w:val="3BC56694"/>
    <w:rsid w:val="3C684B32"/>
    <w:rsid w:val="3CF455B3"/>
    <w:rsid w:val="3CFE60C4"/>
    <w:rsid w:val="3D47B4DE"/>
    <w:rsid w:val="3D6A1752"/>
    <w:rsid w:val="3D8CA0A3"/>
    <w:rsid w:val="3DD9DA11"/>
    <w:rsid w:val="3E902614"/>
    <w:rsid w:val="3F2F6FCE"/>
    <w:rsid w:val="3F367C9D"/>
    <w:rsid w:val="3F498423"/>
    <w:rsid w:val="3FCAD834"/>
    <w:rsid w:val="40CB402F"/>
    <w:rsid w:val="40D24CFE"/>
    <w:rsid w:val="40EA1C8C"/>
    <w:rsid w:val="41382E14"/>
    <w:rsid w:val="420D1F26"/>
    <w:rsid w:val="42B42018"/>
    <w:rsid w:val="4471C6A7"/>
    <w:rsid w:val="4471F9BF"/>
    <w:rsid w:val="44954231"/>
    <w:rsid w:val="455D09D9"/>
    <w:rsid w:val="4584A23C"/>
    <w:rsid w:val="45A07BE9"/>
    <w:rsid w:val="4643F727"/>
    <w:rsid w:val="468058B7"/>
    <w:rsid w:val="46B89E71"/>
    <w:rsid w:val="470B381C"/>
    <w:rsid w:val="47281D4D"/>
    <w:rsid w:val="47321979"/>
    <w:rsid w:val="4804BC8B"/>
    <w:rsid w:val="48315A2C"/>
    <w:rsid w:val="485341A5"/>
    <w:rsid w:val="4856B186"/>
    <w:rsid w:val="4999681D"/>
    <w:rsid w:val="49A65701"/>
    <w:rsid w:val="49C2D0C4"/>
    <w:rsid w:val="49F33AED"/>
    <w:rsid w:val="4A42D8DE"/>
    <w:rsid w:val="4A5087E0"/>
    <w:rsid w:val="4AA0B741"/>
    <w:rsid w:val="4ADFF138"/>
    <w:rsid w:val="4B15E9FE"/>
    <w:rsid w:val="4B8F0B4E"/>
    <w:rsid w:val="4B96EBD9"/>
    <w:rsid w:val="4BDEA93F"/>
    <w:rsid w:val="4C3E6D62"/>
    <w:rsid w:val="4D30492A"/>
    <w:rsid w:val="4D4F808D"/>
    <w:rsid w:val="4D78EE19"/>
    <w:rsid w:val="4D9DC566"/>
    <w:rsid w:val="4DDABB87"/>
    <w:rsid w:val="4E180BA8"/>
    <w:rsid w:val="4E6EB250"/>
    <w:rsid w:val="4E9F1C09"/>
    <w:rsid w:val="4EAE3764"/>
    <w:rsid w:val="4EBE9552"/>
    <w:rsid w:val="4ECC198B"/>
    <w:rsid w:val="4FFEAD6E"/>
    <w:rsid w:val="50137F09"/>
    <w:rsid w:val="50297EC2"/>
    <w:rsid w:val="50627C71"/>
    <w:rsid w:val="5067E9EC"/>
    <w:rsid w:val="50D82D25"/>
    <w:rsid w:val="51D526EC"/>
    <w:rsid w:val="51E6A425"/>
    <w:rsid w:val="51E6AF3F"/>
    <w:rsid w:val="5223B8CE"/>
    <w:rsid w:val="5233BEB0"/>
    <w:rsid w:val="52AD7B85"/>
    <w:rsid w:val="5330BBD3"/>
    <w:rsid w:val="535399DF"/>
    <w:rsid w:val="53ECC1B4"/>
    <w:rsid w:val="53F76A26"/>
    <w:rsid w:val="53FC5BE2"/>
    <w:rsid w:val="54B631C8"/>
    <w:rsid w:val="54FAAC20"/>
    <w:rsid w:val="555B5990"/>
    <w:rsid w:val="55A481A4"/>
    <w:rsid w:val="55AFAEED"/>
    <w:rsid w:val="56061F77"/>
    <w:rsid w:val="56967C81"/>
    <w:rsid w:val="576F39ED"/>
    <w:rsid w:val="5771148F"/>
    <w:rsid w:val="57B1802F"/>
    <w:rsid w:val="57DB44A9"/>
    <w:rsid w:val="581BA90C"/>
    <w:rsid w:val="583E011E"/>
    <w:rsid w:val="5874D203"/>
    <w:rsid w:val="58C79F1E"/>
    <w:rsid w:val="5910AE2E"/>
    <w:rsid w:val="59279041"/>
    <w:rsid w:val="59907B26"/>
    <w:rsid w:val="59D60AC9"/>
    <w:rsid w:val="5A2ECAB3"/>
    <w:rsid w:val="5AA5F138"/>
    <w:rsid w:val="5AB99487"/>
    <w:rsid w:val="5B0804FE"/>
    <w:rsid w:val="5B636D9D"/>
    <w:rsid w:val="5B9D5619"/>
    <w:rsid w:val="5C41C199"/>
    <w:rsid w:val="5C741B04"/>
    <w:rsid w:val="5C793C57"/>
    <w:rsid w:val="5CAEB5CC"/>
    <w:rsid w:val="5CBB4447"/>
    <w:rsid w:val="5CEF1A2F"/>
    <w:rsid w:val="5D0DAB8B"/>
    <w:rsid w:val="5D57EE67"/>
    <w:rsid w:val="5DD939C1"/>
    <w:rsid w:val="5E189E55"/>
    <w:rsid w:val="5EB1E892"/>
    <w:rsid w:val="5EB8F0C2"/>
    <w:rsid w:val="5F023BD6"/>
    <w:rsid w:val="5F78460F"/>
    <w:rsid w:val="602BFD94"/>
    <w:rsid w:val="603D009E"/>
    <w:rsid w:val="60454C4D"/>
    <w:rsid w:val="614DAB2B"/>
    <w:rsid w:val="616F1AE2"/>
    <w:rsid w:val="61A2D8C2"/>
    <w:rsid w:val="61D13D24"/>
    <w:rsid w:val="6269DC4F"/>
    <w:rsid w:val="629DA889"/>
    <w:rsid w:val="62D322FC"/>
    <w:rsid w:val="62E4081F"/>
    <w:rsid w:val="62E97B8C"/>
    <w:rsid w:val="630FA2A3"/>
    <w:rsid w:val="637CED0F"/>
    <w:rsid w:val="637F30D4"/>
    <w:rsid w:val="64095D7E"/>
    <w:rsid w:val="65035BC9"/>
    <w:rsid w:val="6518BD70"/>
    <w:rsid w:val="652B7DE0"/>
    <w:rsid w:val="654CD1D1"/>
    <w:rsid w:val="6580C803"/>
    <w:rsid w:val="65D29D2D"/>
    <w:rsid w:val="666AD08A"/>
    <w:rsid w:val="66B48DD1"/>
    <w:rsid w:val="676E6D8E"/>
    <w:rsid w:val="6786B4DB"/>
    <w:rsid w:val="67DDCA16"/>
    <w:rsid w:val="68121A46"/>
    <w:rsid w:val="683AFC8B"/>
    <w:rsid w:val="6913DD8B"/>
    <w:rsid w:val="692E2806"/>
    <w:rsid w:val="697770A5"/>
    <w:rsid w:val="69796FD9"/>
    <w:rsid w:val="699FCB1C"/>
    <w:rsid w:val="6AA13728"/>
    <w:rsid w:val="6AC4EBFF"/>
    <w:rsid w:val="6B094C7D"/>
    <w:rsid w:val="6B275A5E"/>
    <w:rsid w:val="6B3E41AD"/>
    <w:rsid w:val="6B549440"/>
    <w:rsid w:val="6B80F225"/>
    <w:rsid w:val="6B8560CB"/>
    <w:rsid w:val="6BE3712C"/>
    <w:rsid w:val="6C0A8063"/>
    <w:rsid w:val="6C30E673"/>
    <w:rsid w:val="6CDA120E"/>
    <w:rsid w:val="6CDC5C15"/>
    <w:rsid w:val="6D7D48CB"/>
    <w:rsid w:val="6D7F418D"/>
    <w:rsid w:val="6E1C0D51"/>
    <w:rsid w:val="6E31BDD9"/>
    <w:rsid w:val="6E4EBF0F"/>
    <w:rsid w:val="6F3701BE"/>
    <w:rsid w:val="6F9048D1"/>
    <w:rsid w:val="6F9E0102"/>
    <w:rsid w:val="6FDE0709"/>
    <w:rsid w:val="6FDE31EE"/>
    <w:rsid w:val="700467DE"/>
    <w:rsid w:val="705B7017"/>
    <w:rsid w:val="706D4266"/>
    <w:rsid w:val="708B22BA"/>
    <w:rsid w:val="708D4AAB"/>
    <w:rsid w:val="70EBFE58"/>
    <w:rsid w:val="71074C71"/>
    <w:rsid w:val="71154FD4"/>
    <w:rsid w:val="71B2C2CB"/>
    <w:rsid w:val="72BB9C76"/>
    <w:rsid w:val="730C7BEE"/>
    <w:rsid w:val="733C08A0"/>
    <w:rsid w:val="735B08EC"/>
    <w:rsid w:val="739DF0A1"/>
    <w:rsid w:val="73CE64FF"/>
    <w:rsid w:val="73FAE9C0"/>
    <w:rsid w:val="744F1A13"/>
    <w:rsid w:val="74563EE2"/>
    <w:rsid w:val="746F6254"/>
    <w:rsid w:val="7482A3B5"/>
    <w:rsid w:val="74E523F3"/>
    <w:rsid w:val="75CB37E4"/>
    <w:rsid w:val="75F306F3"/>
    <w:rsid w:val="765D0825"/>
    <w:rsid w:val="7738D952"/>
    <w:rsid w:val="77D67945"/>
    <w:rsid w:val="77F8D886"/>
    <w:rsid w:val="78462592"/>
    <w:rsid w:val="785F2BEE"/>
    <w:rsid w:val="789B3AE6"/>
    <w:rsid w:val="79978129"/>
    <w:rsid w:val="7999DC7C"/>
    <w:rsid w:val="79A4BEE9"/>
    <w:rsid w:val="79B16492"/>
    <w:rsid w:val="79B89516"/>
    <w:rsid w:val="7A15DF58"/>
    <w:rsid w:val="7A512386"/>
    <w:rsid w:val="7ACDB3CF"/>
    <w:rsid w:val="7B4966CE"/>
    <w:rsid w:val="7CD390FE"/>
    <w:rsid w:val="7CF8235E"/>
    <w:rsid w:val="7D4BC56E"/>
    <w:rsid w:val="7DDA3773"/>
    <w:rsid w:val="7E1EA6FD"/>
    <w:rsid w:val="7E283F22"/>
    <w:rsid w:val="7EBC3CFA"/>
    <w:rsid w:val="7F9AFC6F"/>
    <w:rsid w:val="7F9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5597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Thomas Knowlman</cp:lastModifiedBy>
  <cp:revision>2</cp:revision>
  <dcterms:created xsi:type="dcterms:W3CDTF">2023-10-18T22:07:00Z</dcterms:created>
  <dcterms:modified xsi:type="dcterms:W3CDTF">2023-10-18T22:07:00Z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