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51EA4ACA" w14:textId="77777777" w:rsidR="004F0391" w:rsidRPr="004F0391" w:rsidRDefault="004F0391" w:rsidP="0043107B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4F039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3F7D1534" w14:textId="446781C5" w:rsidR="00C8423A" w:rsidRPr="009C75AE" w:rsidRDefault="00841C19" w:rsidP="0043107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41C19">
              <w:rPr>
                <w:rFonts w:ascii="Arial" w:hAnsi="Arial" w:cs="Arial"/>
                <w:b/>
                <w:sz w:val="22"/>
                <w:szCs w:val="22"/>
              </w:rPr>
              <w:t>Geographical Contrasts of Multifaceted Climate Risks in Japan: Linking Climate Impacts and Social-Environmental Exposures for Adaptation</w:t>
            </w:r>
          </w:p>
        </w:tc>
      </w:tr>
      <w:tr w:rsidR="00C8423A" w:rsidRPr="0003525D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2621764C" w:rsidR="00C8423A" w:rsidRPr="00547DD5" w:rsidRDefault="00C8423A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5012F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26593529" w14:textId="77777777" w:rsidR="0067271A" w:rsidRDefault="0067271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  <w:p w14:paraId="437C3D29" w14:textId="6B7CF087" w:rsidR="0067271A" w:rsidRDefault="002146FC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>Effective climate change adaptation requires</w:t>
            </w:r>
            <w:r w:rsidR="001C3C4F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 xml:space="preserve">an 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>understanding of how climat</w:t>
            </w:r>
            <w:r w:rsidR="00831BD0">
              <w:rPr>
                <w:rFonts w:ascii="Arial" w:hAnsi="Arial" w:cs="Arial"/>
                <w:bCs/>
                <w:sz w:val="22"/>
                <w:szCs w:val="22"/>
                <w:lang w:val="en-CA"/>
              </w:rPr>
              <w:t>ic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impacts interact with diverse exposure and vulnerability contexts.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>While p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revious studies have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 xml:space="preserve">primarily 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focused on individual climate risks, the spatial relationships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 xml:space="preserve">among 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>multiple risks remain underexplored</w:t>
            </w:r>
            <w:r w:rsidR="00EF2F4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[1-2]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. This study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 xml:space="preserve">addresses 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this gap by integrating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>H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omogeneous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>I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mpact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>Z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>ones (HIZs)</w:t>
            </w:r>
            <w:r w:rsidR="00EF2F44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EF2F44" w:rsidRPr="00E02971">
              <w:rPr>
                <w:rFonts w:ascii="Arial" w:hAnsi="Arial" w:cs="Arial"/>
                <w:bCs/>
                <w:sz w:val="22"/>
                <w:szCs w:val="22"/>
              </w:rPr>
              <w:t>[1]</w:t>
            </w:r>
            <w:r w:rsidR="00EF2F44" w:rsidRPr="00E02971">
              <w:rPr>
                <w:bCs/>
              </w:rPr>
              <w:t xml:space="preserve"> 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with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>E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>xposure–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>V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ulnerability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>C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omplexes (EVCs) </w:t>
            </w:r>
            <w:r w:rsidR="00EF2F44" w:rsidRPr="00E02971">
              <w:rPr>
                <w:rFonts w:ascii="Arial" w:hAnsi="Arial" w:cs="Arial"/>
                <w:bCs/>
                <w:sz w:val="22"/>
                <w:szCs w:val="22"/>
              </w:rPr>
              <w:t>[</w:t>
            </w:r>
            <w:r w:rsidR="00EF2F4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EF2F44" w:rsidRPr="00E02971">
              <w:rPr>
                <w:rFonts w:ascii="Arial" w:hAnsi="Arial" w:cs="Arial"/>
                <w:bCs/>
                <w:sz w:val="22"/>
                <w:szCs w:val="22"/>
              </w:rPr>
              <w:t>]</w:t>
            </w:r>
            <w:r w:rsidR="00EF2F44" w:rsidRPr="00E02971">
              <w:rPr>
                <w:bCs/>
              </w:rPr>
              <w:t xml:space="preserve"> 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to assess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 xml:space="preserve">the </w:t>
            </w:r>
            <w:r w:rsidR="00FA074E"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diversity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 xml:space="preserve">of 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>geographical climate risk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>s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 xml:space="preserve">in Japan </w:t>
            </w:r>
            <w:r w:rsidRPr="002146FC">
              <w:rPr>
                <w:rFonts w:ascii="Arial" w:hAnsi="Arial" w:cs="Arial"/>
                <w:bCs/>
                <w:sz w:val="22"/>
                <w:szCs w:val="22"/>
                <w:lang w:val="en-CA"/>
              </w:rPr>
              <w:t>from a multidimensional perspective</w:t>
            </w:r>
            <w:r w:rsidR="00305E36" w:rsidRPr="00305E36">
              <w:rPr>
                <w:rFonts w:ascii="Arial" w:hAnsi="Arial" w:cs="Arial"/>
                <w:bCs/>
                <w:sz w:val="22"/>
                <w:szCs w:val="22"/>
                <w:lang w:val="en-CA"/>
              </w:rPr>
              <w:t>.</w:t>
            </w:r>
          </w:p>
          <w:p w14:paraId="4B4543BB" w14:textId="77777777" w:rsidR="00305E36" w:rsidRPr="0067271A" w:rsidRDefault="00305E36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bjectives</w:t>
            </w:r>
          </w:p>
          <w:p w14:paraId="7DF7D437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4E0938" w14:textId="16A08828" w:rsidR="0067271A" w:rsidRDefault="002146FC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146FC">
              <w:rPr>
                <w:rFonts w:ascii="Arial" w:hAnsi="Arial" w:cs="Arial"/>
                <w:bCs/>
                <w:sz w:val="22"/>
                <w:szCs w:val="22"/>
              </w:rPr>
              <w:t xml:space="preserve">This study aims to (1) </w:t>
            </w:r>
            <w:r w:rsidR="00831BD0">
              <w:rPr>
                <w:rFonts w:ascii="Arial" w:hAnsi="Arial" w:cs="Arial"/>
                <w:bCs/>
                <w:sz w:val="22"/>
                <w:szCs w:val="22"/>
              </w:rPr>
              <w:t>identify</w:t>
            </w:r>
            <w:r w:rsidRPr="002146FC">
              <w:rPr>
                <w:rFonts w:ascii="Arial" w:hAnsi="Arial" w:cs="Arial"/>
                <w:bCs/>
                <w:sz w:val="22"/>
                <w:szCs w:val="22"/>
              </w:rPr>
              <w:t xml:space="preserve"> spatial co-occurrence patterns of diverse climatic impact</w:t>
            </w:r>
            <w:r w:rsidR="001C3C4F">
              <w:rPr>
                <w:rFonts w:ascii="Arial" w:hAnsi="Arial" w:cs="Arial"/>
                <w:bCs/>
                <w:sz w:val="22"/>
                <w:szCs w:val="22"/>
              </w:rPr>
              <w:t xml:space="preserve">s </w:t>
            </w:r>
            <w:r w:rsidRPr="002146FC">
              <w:rPr>
                <w:rFonts w:ascii="Arial" w:hAnsi="Arial" w:cs="Arial"/>
                <w:bCs/>
                <w:sz w:val="22"/>
                <w:szCs w:val="22"/>
              </w:rPr>
              <w:t xml:space="preserve">(HIZs), (2) delineate regions with distinct exposure and vulnerability patterns (EVCs), (3) examine their spatial intersections and interconnections, (4) uncover </w:t>
            </w:r>
            <w:r w:rsidR="00FA074E" w:rsidRPr="002146FC">
              <w:rPr>
                <w:rFonts w:ascii="Arial" w:hAnsi="Arial" w:cs="Arial"/>
                <w:bCs/>
                <w:sz w:val="22"/>
                <w:szCs w:val="22"/>
              </w:rPr>
              <w:t xml:space="preserve">disparities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eastAsia="ja-JP"/>
              </w:rPr>
              <w:t xml:space="preserve">in </w:t>
            </w:r>
            <w:r w:rsidRPr="002146FC">
              <w:rPr>
                <w:rFonts w:ascii="Arial" w:hAnsi="Arial" w:cs="Arial"/>
                <w:bCs/>
                <w:sz w:val="22"/>
                <w:szCs w:val="22"/>
              </w:rPr>
              <w:t xml:space="preserve">climate risk across </w:t>
            </w:r>
            <w:r w:rsidR="00FA074E">
              <w:rPr>
                <w:rFonts w:ascii="Arial" w:eastAsia="Yu Mincho" w:hAnsi="Arial" w:cs="Arial" w:hint="eastAsia"/>
                <w:bCs/>
                <w:sz w:val="22"/>
                <w:szCs w:val="22"/>
                <w:lang w:eastAsia="ja-JP"/>
              </w:rPr>
              <w:t xml:space="preserve">different </w:t>
            </w:r>
            <w:r w:rsidRPr="002146FC">
              <w:rPr>
                <w:rFonts w:ascii="Arial" w:hAnsi="Arial" w:cs="Arial"/>
                <w:bCs/>
                <w:sz w:val="22"/>
                <w:szCs w:val="22"/>
              </w:rPr>
              <w:t>exposure and vulnerability contexts, and (5) explore the implications</w:t>
            </w:r>
            <w:r w:rsidR="00831B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146FC">
              <w:rPr>
                <w:rFonts w:ascii="Arial" w:hAnsi="Arial" w:cs="Arial"/>
                <w:bCs/>
                <w:sz w:val="22"/>
                <w:szCs w:val="22"/>
              </w:rPr>
              <w:t>for climate risk management and adaptation policies</w:t>
            </w:r>
            <w:r w:rsidR="00305E36" w:rsidRPr="00305E3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7FD902BA" w14:textId="77777777" w:rsidR="00305E36" w:rsidRDefault="00305E3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4552866C" w:rsidR="0065012F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ethod</w:t>
            </w:r>
            <w:r>
              <w:rPr>
                <w:rFonts w:ascii="Arial" w:hAnsi="Arial" w:cs="Arial"/>
                <w:b/>
                <w:sz w:val="22"/>
                <w:szCs w:val="22"/>
              </w:rPr>
              <w:t>ology</w:t>
            </w:r>
          </w:p>
          <w:p w14:paraId="01262035" w14:textId="77777777" w:rsidR="0067271A" w:rsidRDefault="0067271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048190" w14:textId="7A65917C" w:rsidR="000D7409" w:rsidRDefault="00D91628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91628">
              <w:rPr>
                <w:rFonts w:ascii="Arial" w:hAnsi="Arial" w:cs="Arial"/>
                <w:bCs/>
                <w:sz w:val="22"/>
                <w:szCs w:val="22"/>
              </w:rPr>
              <w:t xml:space="preserve">Using multivariate clustering, similarity search, and spatially explicit analysis, this study delineated scenario-based future maps of HIZs and EVCs for the end of the century at a 1 km spatial resolution. Based on </w:t>
            </w:r>
            <w:r w:rsidR="00AA3BCB">
              <w:rPr>
                <w:rFonts w:ascii="Arial" w:eastAsia="Yu Mincho" w:hAnsi="Arial" w:cs="Arial" w:hint="eastAsia"/>
                <w:bCs/>
                <w:sz w:val="22"/>
                <w:szCs w:val="22"/>
                <w:lang w:eastAsia="ja-JP"/>
              </w:rPr>
              <w:t xml:space="preserve">multiple </w:t>
            </w:r>
            <w:r w:rsidRPr="00D91628">
              <w:rPr>
                <w:rFonts w:ascii="Arial" w:hAnsi="Arial" w:cs="Arial"/>
                <w:bCs/>
                <w:sz w:val="22"/>
                <w:szCs w:val="22"/>
              </w:rPr>
              <w:t xml:space="preserve">future scenarios and multisource spatial data, HIZs were defined by homogeneous patterns of multisectoral climatic impacts, while EVCs were characterized by </w:t>
            </w:r>
            <w:r w:rsidR="001C3C4F">
              <w:rPr>
                <w:rFonts w:ascii="Arial" w:hAnsi="Arial" w:cs="Arial"/>
                <w:bCs/>
                <w:sz w:val="22"/>
                <w:szCs w:val="22"/>
              </w:rPr>
              <w:t>shared</w:t>
            </w:r>
            <w:r w:rsidRPr="00D91628">
              <w:rPr>
                <w:rFonts w:ascii="Arial" w:hAnsi="Arial" w:cs="Arial"/>
                <w:bCs/>
                <w:sz w:val="22"/>
                <w:szCs w:val="22"/>
              </w:rPr>
              <w:t xml:space="preserve"> exposure and vulnerability</w:t>
            </w:r>
            <w:r w:rsidR="00831BD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31BD0" w:rsidRPr="00D91628">
              <w:rPr>
                <w:rFonts w:ascii="Arial" w:hAnsi="Arial" w:cs="Arial"/>
                <w:bCs/>
                <w:sz w:val="22"/>
                <w:szCs w:val="22"/>
              </w:rPr>
              <w:t>features</w:t>
            </w:r>
            <w:r w:rsidRPr="00D91628">
              <w:rPr>
                <w:rFonts w:ascii="Arial" w:hAnsi="Arial" w:cs="Arial"/>
                <w:bCs/>
                <w:sz w:val="22"/>
                <w:szCs w:val="22"/>
              </w:rPr>
              <w:t xml:space="preserve">. The spatial intersection of HIZs and EVCs was then </w:t>
            </w:r>
            <w:proofErr w:type="spellStart"/>
            <w:r w:rsidRPr="00D91628">
              <w:rPr>
                <w:rFonts w:ascii="Arial" w:hAnsi="Arial" w:cs="Arial"/>
                <w:bCs/>
                <w:sz w:val="22"/>
                <w:szCs w:val="22"/>
              </w:rPr>
              <w:t>analyzed</w:t>
            </w:r>
            <w:proofErr w:type="spellEnd"/>
            <w:r w:rsidRPr="00D91628">
              <w:rPr>
                <w:rFonts w:ascii="Arial" w:hAnsi="Arial" w:cs="Arial"/>
                <w:bCs/>
                <w:sz w:val="22"/>
                <w:szCs w:val="22"/>
              </w:rPr>
              <w:t xml:space="preserve"> to assess their correspondence</w:t>
            </w:r>
            <w:r w:rsidR="001C3C4F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D91628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AA3BCB">
              <w:rPr>
                <w:rFonts w:ascii="Arial" w:eastAsia="Yu Mincho" w:hAnsi="Arial" w:cs="Arial" w:hint="eastAsia"/>
                <w:bCs/>
                <w:sz w:val="22"/>
                <w:szCs w:val="22"/>
                <w:lang w:eastAsia="ja-JP"/>
              </w:rPr>
              <w:t xml:space="preserve">allowing for the identification of </w:t>
            </w:r>
            <w:r w:rsidRPr="00D91628">
              <w:rPr>
                <w:rFonts w:ascii="Arial" w:hAnsi="Arial" w:cs="Arial"/>
                <w:bCs/>
                <w:sz w:val="22"/>
                <w:szCs w:val="22"/>
              </w:rPr>
              <w:t>anticipated climate risks across Japan</w:t>
            </w:r>
            <w:r w:rsidR="0006107B" w:rsidRPr="0006107B">
              <w:rPr>
                <w:rFonts w:ascii="Arial" w:hAnsi="Arial" w:cs="Arial"/>
                <w:bCs/>
                <w:sz w:val="22"/>
                <w:szCs w:val="22"/>
              </w:rPr>
              <w:t xml:space="preserve">.  </w:t>
            </w:r>
          </w:p>
          <w:p w14:paraId="38205D05" w14:textId="77777777" w:rsidR="0006107B" w:rsidRDefault="0006107B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>inding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</w:p>
          <w:p w14:paraId="2F7B1DFD" w14:textId="77777777" w:rsidR="0067271A" w:rsidRDefault="0067271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D617BC" w14:textId="6C482E19" w:rsidR="001C00A9" w:rsidRPr="001C00A9" w:rsidRDefault="00831BD0" w:rsidP="001C00A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31BD0">
              <w:rPr>
                <w:rFonts w:ascii="Arial" w:hAnsi="Arial" w:cs="Arial"/>
                <w:bCs/>
                <w:sz w:val="22"/>
                <w:szCs w:val="22"/>
              </w:rPr>
              <w:t xml:space="preserve">Japan was segmented into six HIZs and eight EVCs based on seven climatic impact </w:t>
            </w:r>
            <w:r w:rsidR="008F2F73">
              <w:rPr>
                <w:rFonts w:ascii="Arial" w:eastAsia="Yu Mincho" w:hAnsi="Arial" w:cs="Arial" w:hint="eastAsia"/>
                <w:bCs/>
                <w:sz w:val="22"/>
                <w:szCs w:val="22"/>
                <w:lang w:eastAsia="ja-JP"/>
              </w:rPr>
              <w:t xml:space="preserve">indicators </w:t>
            </w:r>
            <w:r w:rsidRPr="00831BD0">
              <w:rPr>
                <w:rFonts w:ascii="Arial" w:hAnsi="Arial" w:cs="Arial"/>
                <w:bCs/>
                <w:sz w:val="22"/>
                <w:szCs w:val="22"/>
              </w:rPr>
              <w:t>and fifteen exposure and vulnerability indicators</w:t>
            </w:r>
            <w:r w:rsidR="001C00A9" w:rsidRPr="001C00A9">
              <w:rPr>
                <w:rFonts w:ascii="Arial" w:hAnsi="Arial" w:cs="Arial"/>
                <w:bCs/>
                <w:sz w:val="22"/>
                <w:szCs w:val="22"/>
              </w:rPr>
              <w:t>. HIZs were characterized by</w:t>
            </w:r>
            <w:r w:rsidR="00EF2F4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C3C4F">
              <w:rPr>
                <w:rFonts w:ascii="Arial" w:hAnsi="Arial" w:cs="Arial"/>
                <w:bCs/>
                <w:sz w:val="22"/>
                <w:szCs w:val="22"/>
              </w:rPr>
              <w:t>ei</w:t>
            </w:r>
            <w:r w:rsidR="001C3C4F" w:rsidRPr="001C3C4F">
              <w:rPr>
                <w:rFonts w:ascii="Arial" w:hAnsi="Arial" w:cs="Arial"/>
                <w:bCs/>
                <w:sz w:val="22"/>
                <w:szCs w:val="22"/>
                <w:lang w:val="en-CA"/>
              </w:rPr>
              <w:t>ther</w:t>
            </w:r>
            <w:proofErr w:type="spellEnd"/>
            <w:r w:rsidR="001C3C4F" w:rsidRPr="001C3C4F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singular or multiple concurrent climatic impacts</w:t>
            </w:r>
            <w:r w:rsidR="001C00A9" w:rsidRPr="001C00A9">
              <w:rPr>
                <w:rFonts w:ascii="Arial" w:hAnsi="Arial" w:cs="Arial"/>
                <w:bCs/>
                <w:sz w:val="22"/>
                <w:szCs w:val="22"/>
              </w:rPr>
              <w:t xml:space="preserve">, influenced by correlations among impact indicators and their relationships with climate variables. Regions within the same HIZ face similar </w:t>
            </w:r>
            <w:r w:rsidR="008F2F73">
              <w:rPr>
                <w:rFonts w:ascii="Arial" w:eastAsia="Yu Mincho" w:hAnsi="Arial" w:cs="Arial" w:hint="eastAsia"/>
                <w:bCs/>
                <w:sz w:val="22"/>
                <w:szCs w:val="22"/>
                <w:lang w:eastAsia="ja-JP"/>
              </w:rPr>
              <w:t xml:space="preserve">pattern of </w:t>
            </w:r>
            <w:r w:rsidR="001C00A9" w:rsidRPr="001C00A9">
              <w:rPr>
                <w:rFonts w:ascii="Arial" w:hAnsi="Arial" w:cs="Arial"/>
                <w:bCs/>
                <w:sz w:val="22"/>
                <w:szCs w:val="22"/>
              </w:rPr>
              <w:t>climatic impact</w:t>
            </w:r>
            <w:r w:rsidR="00AA3BCB">
              <w:rPr>
                <w:rFonts w:ascii="Arial" w:eastAsia="Yu Mincho" w:hAnsi="Arial" w:cs="Arial" w:hint="eastAsia"/>
                <w:bCs/>
                <w:sz w:val="22"/>
                <w:szCs w:val="22"/>
                <w:lang w:eastAsia="ja-JP"/>
              </w:rPr>
              <w:t>s</w:t>
            </w:r>
            <w:r w:rsidR="001C00A9" w:rsidRPr="001C00A9">
              <w:rPr>
                <w:rFonts w:ascii="Arial" w:hAnsi="Arial" w:cs="Arial"/>
                <w:bCs/>
                <w:sz w:val="22"/>
                <w:szCs w:val="22"/>
              </w:rPr>
              <w:t>, necessitating coordinated adaptation measures.</w:t>
            </w:r>
          </w:p>
          <w:p w14:paraId="0C5940B2" w14:textId="09EBCC04" w:rsidR="001C00A9" w:rsidRPr="005E2626" w:rsidRDefault="00831BD0" w:rsidP="001C00A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  <w:r w:rsidRPr="00831BD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The eight EVCs revealed a pronounced urban-rural gradient, reflecting Japan’s social and environmental diversity. Urban EVCs were </w:t>
            </w:r>
            <w:r w:rsidR="005E2626">
              <w:rPr>
                <w:rFonts w:ascii="Arial" w:hAnsi="Arial" w:cs="Arial"/>
                <w:bCs/>
                <w:sz w:val="22"/>
                <w:szCs w:val="22"/>
                <w:lang w:val="en-CA"/>
              </w:rPr>
              <w:t>identified</w:t>
            </w:r>
            <w:r w:rsidR="005B44AB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based on</w:t>
            </w:r>
            <w:r w:rsidRPr="00831BD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8F2F73" w:rsidRPr="008F2F73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levels of population density </w:t>
            </w:r>
            <w:r w:rsidR="005E2626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and built </w:t>
            </w:r>
            <w:r w:rsidR="008F2F73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>environment</w:t>
            </w:r>
            <w:r w:rsidRPr="00831BD0">
              <w:rPr>
                <w:rFonts w:ascii="Arial" w:hAnsi="Arial" w:cs="Arial"/>
                <w:bCs/>
                <w:sz w:val="22"/>
                <w:szCs w:val="22"/>
                <w:lang w:val="en-CA"/>
              </w:rPr>
              <w:t>, while rural EVCs were defined by dominant land uses (e.g., forests, agricultural lands) and low</w:t>
            </w:r>
            <w:r w:rsidR="008F2F73">
              <w:rPr>
                <w:rFonts w:ascii="Arial" w:eastAsia="Yu Mincho" w:hAnsi="Arial" w:cs="Arial" w:hint="eastAsia"/>
                <w:bCs/>
                <w:sz w:val="22"/>
                <w:szCs w:val="22"/>
                <w:lang w:val="en-CA" w:eastAsia="ja-JP"/>
              </w:rPr>
              <w:t>er</w:t>
            </w:r>
            <w:r w:rsidRPr="00831BD0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population vulnerability.</w:t>
            </w:r>
            <w:r w:rsidR="005E2626">
              <w:rPr>
                <w:rFonts w:ascii="Arial" w:hAnsi="Arial" w:cs="Arial"/>
                <w:bCs/>
                <w:sz w:val="22"/>
                <w:szCs w:val="22"/>
                <w:lang w:val="en-CA"/>
              </w:rPr>
              <w:t xml:space="preserve"> </w:t>
            </w:r>
            <w:r w:rsidR="005B44AB">
              <w:rPr>
                <w:rFonts w:ascii="Arial" w:hAnsi="Arial" w:cs="Arial"/>
                <w:bCs/>
                <w:sz w:val="22"/>
                <w:szCs w:val="22"/>
              </w:rPr>
              <w:t>O</w:t>
            </w:r>
            <w:r w:rsidR="001C00A9" w:rsidRPr="001C00A9">
              <w:rPr>
                <w:rFonts w:ascii="Arial" w:hAnsi="Arial" w:cs="Arial"/>
                <w:bCs/>
                <w:sz w:val="22"/>
                <w:szCs w:val="22"/>
              </w:rPr>
              <w:t xml:space="preserve">verlay analysis revealed </w:t>
            </w:r>
            <w:r w:rsidR="005E2626">
              <w:rPr>
                <w:rFonts w:ascii="Arial" w:hAnsi="Arial" w:cs="Arial"/>
                <w:bCs/>
                <w:sz w:val="22"/>
                <w:szCs w:val="22"/>
              </w:rPr>
              <w:t>weak</w:t>
            </w:r>
            <w:r w:rsidR="001C00A9" w:rsidRPr="001C00A9">
              <w:rPr>
                <w:rFonts w:ascii="Arial" w:hAnsi="Arial" w:cs="Arial"/>
                <w:bCs/>
                <w:sz w:val="22"/>
                <w:szCs w:val="22"/>
              </w:rPr>
              <w:t xml:space="preserve"> spatial correspondence between climatic impact</w:t>
            </w:r>
            <w:r w:rsidR="008F2F73">
              <w:rPr>
                <w:rFonts w:ascii="Arial" w:eastAsia="Yu Mincho" w:hAnsi="Arial" w:cs="Arial" w:hint="eastAsia"/>
                <w:bCs/>
                <w:sz w:val="22"/>
                <w:szCs w:val="22"/>
                <w:lang w:eastAsia="ja-JP"/>
              </w:rPr>
              <w:t>s</w:t>
            </w:r>
            <w:r w:rsidR="001C00A9" w:rsidRPr="001C00A9">
              <w:rPr>
                <w:rFonts w:ascii="Arial" w:hAnsi="Arial" w:cs="Arial"/>
                <w:bCs/>
                <w:sz w:val="22"/>
                <w:szCs w:val="22"/>
              </w:rPr>
              <w:t xml:space="preserve"> and exposure–vulnerability factors, </w:t>
            </w:r>
            <w:r w:rsidR="008F2F73">
              <w:rPr>
                <w:rFonts w:ascii="Arial" w:eastAsia="Yu Mincho" w:hAnsi="Arial" w:cs="Arial" w:hint="eastAsia"/>
                <w:bCs/>
                <w:sz w:val="22"/>
                <w:szCs w:val="22"/>
                <w:lang w:eastAsia="ja-JP"/>
              </w:rPr>
              <w:t xml:space="preserve">highlighting </w:t>
            </w:r>
            <w:r w:rsidR="001C00A9" w:rsidRPr="001C00A9">
              <w:rPr>
                <w:rFonts w:ascii="Arial" w:hAnsi="Arial" w:cs="Arial"/>
                <w:bCs/>
                <w:sz w:val="22"/>
                <w:szCs w:val="22"/>
              </w:rPr>
              <w:t xml:space="preserve">the complexity of climate risks in Japan. </w:t>
            </w:r>
          </w:p>
          <w:p w14:paraId="5713A562" w14:textId="77777777" w:rsidR="001C00A9" w:rsidRPr="001C00A9" w:rsidRDefault="001C00A9" w:rsidP="001C00A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DC99F1" w14:textId="095CC764" w:rsidR="0065012F" w:rsidRPr="0067271A" w:rsidRDefault="005E2626" w:rsidP="001C00A9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E2626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Different societal and environmental systems face distinct risks, emphasizing regional disparities. Urban areas are </w:t>
            </w:r>
            <w:r w:rsidR="008F2F73">
              <w:rPr>
                <w:rFonts w:ascii="Arial" w:eastAsia="Yu Mincho" w:hAnsi="Arial" w:cs="Arial" w:hint="eastAsia"/>
                <w:bCs/>
                <w:sz w:val="22"/>
                <w:szCs w:val="22"/>
                <w:lang w:eastAsia="ja-JP"/>
              </w:rPr>
              <w:t xml:space="preserve">particularly </w:t>
            </w:r>
            <w:r w:rsidRPr="005E2626">
              <w:rPr>
                <w:rFonts w:ascii="Arial" w:hAnsi="Arial" w:cs="Arial"/>
                <w:bCs/>
                <w:sz w:val="22"/>
                <w:szCs w:val="22"/>
              </w:rPr>
              <w:t>vulnerable to heat stress and flooding, while rural regions face risks such as crop yield loss</w:t>
            </w:r>
            <w:r w:rsidR="008F2F73">
              <w:rPr>
                <w:rFonts w:ascii="Arial" w:eastAsia="Yu Mincho" w:hAnsi="Arial" w:cs="Arial" w:hint="eastAsia"/>
                <w:bCs/>
                <w:sz w:val="22"/>
                <w:szCs w:val="22"/>
                <w:lang w:eastAsia="ja-JP"/>
              </w:rPr>
              <w:t>es</w:t>
            </w:r>
            <w:r w:rsidRPr="005E2626">
              <w:rPr>
                <w:rFonts w:ascii="Arial" w:hAnsi="Arial" w:cs="Arial"/>
                <w:bCs/>
                <w:sz w:val="22"/>
                <w:szCs w:val="22"/>
              </w:rPr>
              <w:t>, bamboo expansion, pine wilt disease, and flood damage. The HIZ–EVC framework facilitates localized climate risk assessment and adaptation planning</w:t>
            </w:r>
            <w:r w:rsidR="0067271A" w:rsidRPr="0067271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58EE97F6" w14:textId="77777777" w:rsidR="0067271A" w:rsidRDefault="0067271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65012F">
              <w:rPr>
                <w:rFonts w:ascii="Arial" w:hAnsi="Arial" w:cs="Arial"/>
                <w:b/>
                <w:sz w:val="22"/>
                <w:szCs w:val="22"/>
              </w:rPr>
              <w:t xml:space="preserve">ignificance of the work for policy and practice </w:t>
            </w:r>
          </w:p>
          <w:p w14:paraId="43CB2428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775D948" w14:textId="7E98C6C6" w:rsidR="005E2626" w:rsidRPr="005E2626" w:rsidRDefault="008F2F73" w:rsidP="005E2626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eastAsia="Yu Mincho" w:hAnsi="Arial" w:cs="Arial" w:hint="eastAsia"/>
                <w:bCs/>
                <w:sz w:val="22"/>
                <w:szCs w:val="22"/>
                <w:lang w:val="en-US" w:eastAsia="ja-JP"/>
              </w:rPr>
              <w:t>The f</w:t>
            </w:r>
            <w:r w:rsidR="005E2626" w:rsidRPr="005E262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indings </w:t>
            </w:r>
            <w:r w:rsidR="005E2626">
              <w:rPr>
                <w:rFonts w:ascii="Arial" w:hAnsi="Arial" w:cs="Arial"/>
                <w:bCs/>
                <w:sz w:val="22"/>
                <w:szCs w:val="22"/>
                <w:lang w:val="en-US"/>
              </w:rPr>
              <w:t>emphasize</w:t>
            </w:r>
            <w:r w:rsidR="005E2626" w:rsidRPr="005E262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the </w:t>
            </w:r>
            <w:r>
              <w:rPr>
                <w:rFonts w:ascii="Arial" w:eastAsia="Yu Mincho" w:hAnsi="Arial" w:cs="Arial"/>
                <w:bCs/>
                <w:sz w:val="22"/>
                <w:szCs w:val="22"/>
                <w:lang w:val="en-US" w:eastAsia="ja-JP"/>
              </w:rPr>
              <w:t>necessity</w:t>
            </w:r>
            <w:r>
              <w:rPr>
                <w:rFonts w:ascii="Arial" w:eastAsia="Yu Mincho" w:hAnsi="Arial" w:cs="Arial" w:hint="eastAsia"/>
                <w:bCs/>
                <w:sz w:val="22"/>
                <w:szCs w:val="22"/>
                <w:lang w:val="en-US" w:eastAsia="ja-JP"/>
              </w:rPr>
              <w:t xml:space="preserve"> </w:t>
            </w:r>
            <w:r w:rsidR="005E2626" w:rsidRPr="005E262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for geographically tailored adaptation strategies. The spatial divergence between HIZs and EVCs suggests that a uniform adaptation approach is ineffective. Adaptation interventions must be region-specific, addressing local vulnerabilities and sectoral risks. Urban areas require targeted measures for </w:t>
            </w:r>
            <w:r w:rsidR="00203417">
              <w:rPr>
                <w:rFonts w:ascii="Arial" w:eastAsia="Yu Mincho" w:hAnsi="Arial" w:cs="Arial" w:hint="eastAsia"/>
                <w:bCs/>
                <w:sz w:val="22"/>
                <w:szCs w:val="22"/>
                <w:lang w:val="en-US" w:eastAsia="ja-JP"/>
              </w:rPr>
              <w:t xml:space="preserve">managing </w:t>
            </w:r>
            <w:r w:rsidR="005E2626" w:rsidRPr="005E2626">
              <w:rPr>
                <w:rFonts w:ascii="Arial" w:hAnsi="Arial" w:cs="Arial"/>
                <w:bCs/>
                <w:sz w:val="22"/>
                <w:szCs w:val="22"/>
                <w:lang w:val="en-US"/>
              </w:rPr>
              <w:t>heat and flooding, while agricultural and forested regions need strategies to sustain ecosystem services and productivity.</w:t>
            </w:r>
          </w:p>
          <w:p w14:paraId="5D3336E3" w14:textId="460E8AEC" w:rsidR="00841C19" w:rsidRDefault="005E2626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E262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By integrating HIZs and EVCs into climate risk assessments, policymakers can develop precise, locally responsive adaptation plans that support decision-making at both national and </w:t>
            </w:r>
            <w:r w:rsidR="001C3C4F">
              <w:rPr>
                <w:rFonts w:ascii="Arial" w:hAnsi="Arial" w:cs="Arial"/>
                <w:bCs/>
                <w:sz w:val="22"/>
                <w:szCs w:val="22"/>
                <w:lang w:val="en-US"/>
              </w:rPr>
              <w:t>regional</w:t>
            </w:r>
            <w:r w:rsidRPr="005E262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levels. This spatially explicit framework enhances Japan’s climate resilience and </w:t>
            </w:r>
            <w:r w:rsidR="00203417">
              <w:rPr>
                <w:rFonts w:ascii="Arial" w:eastAsia="Yu Mincho" w:hAnsi="Arial" w:cs="Arial" w:hint="eastAsia"/>
                <w:bCs/>
                <w:sz w:val="22"/>
                <w:szCs w:val="22"/>
                <w:lang w:val="en-US" w:eastAsia="ja-JP"/>
              </w:rPr>
              <w:t xml:space="preserve">serves as </w:t>
            </w:r>
            <w:r w:rsidRPr="005E2626">
              <w:rPr>
                <w:rFonts w:ascii="Arial" w:hAnsi="Arial" w:cs="Arial"/>
                <w:bCs/>
                <w:sz w:val="22"/>
                <w:szCs w:val="22"/>
                <w:lang w:val="en-US"/>
              </w:rPr>
              <w:t>a model for other regions facing complex climate risks</w:t>
            </w:r>
            <w:r w:rsidR="001C00A9" w:rsidRPr="001C00A9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49C825FE" w14:textId="77777777" w:rsidR="00E02971" w:rsidRDefault="00E02971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AF57459" w14:textId="757D477B" w:rsidR="00E02971" w:rsidRPr="005E2626" w:rsidRDefault="00E02971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E02971">
              <w:rPr>
                <w:rFonts w:ascii="Arial" w:hAnsi="Arial" w:cs="Arial"/>
                <w:b/>
                <w:sz w:val="22"/>
                <w:szCs w:val="22"/>
              </w:rPr>
              <w:t>Reference</w:t>
            </w:r>
          </w:p>
          <w:p w14:paraId="2B296FDF" w14:textId="48990EED" w:rsidR="00E02971" w:rsidRPr="00E02971" w:rsidRDefault="00E02971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02971">
              <w:rPr>
                <w:rFonts w:ascii="Arial" w:hAnsi="Arial" w:cs="Arial"/>
                <w:bCs/>
                <w:sz w:val="22"/>
                <w:szCs w:val="22"/>
              </w:rPr>
              <w:t>[1]</w:t>
            </w:r>
            <w:r w:rsidRPr="00E02971">
              <w:rPr>
                <w:bCs/>
              </w:rPr>
              <w:t xml:space="preserve"> </w:t>
            </w:r>
            <w:r w:rsidRPr="00E02971">
              <w:rPr>
                <w:rFonts w:ascii="Arial" w:hAnsi="Arial" w:cs="Arial"/>
                <w:bCs/>
                <w:sz w:val="22"/>
                <w:szCs w:val="22"/>
              </w:rPr>
              <w:t>Liu, F., &amp; Masago, Y. (2023). An analysis of the spatial heterogeneity of future climate change impacts in support of cross-sectoral adaptation strategies in Japan. Climate Risk Management, 41, 100528.</w:t>
            </w:r>
          </w:p>
          <w:p w14:paraId="2F0FA6E7" w14:textId="2A68F341" w:rsidR="001C00A9" w:rsidRPr="00E02971" w:rsidRDefault="00E02971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02971">
              <w:rPr>
                <w:rFonts w:ascii="Arial" w:hAnsi="Arial" w:cs="Arial"/>
                <w:bCs/>
                <w:sz w:val="22"/>
                <w:szCs w:val="22"/>
              </w:rPr>
              <w:t>[2]</w:t>
            </w:r>
            <w:r w:rsidRPr="00E02971">
              <w:rPr>
                <w:bCs/>
              </w:rPr>
              <w:t xml:space="preserve"> </w:t>
            </w:r>
            <w:r w:rsidRPr="00E02971">
              <w:rPr>
                <w:rFonts w:ascii="Arial" w:hAnsi="Arial" w:cs="Arial"/>
                <w:bCs/>
                <w:sz w:val="22"/>
                <w:szCs w:val="22"/>
              </w:rPr>
              <w:t>Liu, F., &amp; Masago, Y. (2025). Assessing the geographical diversity of climate change risks in Japan by overlaying climatic impacts with exposure and vulnerability indicators. Science of the Total Environment, 959, 178076.</w:t>
            </w: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439391">
    <w:abstractNumId w:val="0"/>
  </w:num>
  <w:num w:numId="2" w16cid:durableId="1027095654">
    <w:abstractNumId w:val="2"/>
  </w:num>
  <w:num w:numId="3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06107B"/>
    <w:rsid w:val="000A31E1"/>
    <w:rsid w:val="000D7409"/>
    <w:rsid w:val="00105E39"/>
    <w:rsid w:val="00132AE5"/>
    <w:rsid w:val="0015170A"/>
    <w:rsid w:val="00155315"/>
    <w:rsid w:val="001C00A9"/>
    <w:rsid w:val="001C3C4F"/>
    <w:rsid w:val="00203417"/>
    <w:rsid w:val="002146FC"/>
    <w:rsid w:val="00247C60"/>
    <w:rsid w:val="00256963"/>
    <w:rsid w:val="002908B9"/>
    <w:rsid w:val="002B49DA"/>
    <w:rsid w:val="002E3AA3"/>
    <w:rsid w:val="00305E36"/>
    <w:rsid w:val="00317356"/>
    <w:rsid w:val="0034503D"/>
    <w:rsid w:val="00354C31"/>
    <w:rsid w:val="00375B20"/>
    <w:rsid w:val="00386D01"/>
    <w:rsid w:val="004049E7"/>
    <w:rsid w:val="0043107B"/>
    <w:rsid w:val="00462B90"/>
    <w:rsid w:val="004828A0"/>
    <w:rsid w:val="004B69C7"/>
    <w:rsid w:val="004D193B"/>
    <w:rsid w:val="004F0391"/>
    <w:rsid w:val="004F4CE8"/>
    <w:rsid w:val="004F5C81"/>
    <w:rsid w:val="0053222C"/>
    <w:rsid w:val="005469BD"/>
    <w:rsid w:val="00547DD5"/>
    <w:rsid w:val="00550B17"/>
    <w:rsid w:val="005854B8"/>
    <w:rsid w:val="005B44AB"/>
    <w:rsid w:val="005E2626"/>
    <w:rsid w:val="00602A2D"/>
    <w:rsid w:val="006414FA"/>
    <w:rsid w:val="0065012F"/>
    <w:rsid w:val="0067271A"/>
    <w:rsid w:val="0068043B"/>
    <w:rsid w:val="00681CA7"/>
    <w:rsid w:val="007E088B"/>
    <w:rsid w:val="008235E8"/>
    <w:rsid w:val="00831BD0"/>
    <w:rsid w:val="00841C19"/>
    <w:rsid w:val="008773DF"/>
    <w:rsid w:val="008B01BA"/>
    <w:rsid w:val="008B50A0"/>
    <w:rsid w:val="008C0C35"/>
    <w:rsid w:val="008C22AD"/>
    <w:rsid w:val="008C2633"/>
    <w:rsid w:val="008E3D8D"/>
    <w:rsid w:val="008F2F73"/>
    <w:rsid w:val="008F2F93"/>
    <w:rsid w:val="009010B0"/>
    <w:rsid w:val="00906B39"/>
    <w:rsid w:val="00963443"/>
    <w:rsid w:val="009C374A"/>
    <w:rsid w:val="009F4EA0"/>
    <w:rsid w:val="00AA3BCB"/>
    <w:rsid w:val="00B026E8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E53FE"/>
    <w:rsid w:val="00D716AD"/>
    <w:rsid w:val="00D91628"/>
    <w:rsid w:val="00DB7929"/>
    <w:rsid w:val="00DD1BB3"/>
    <w:rsid w:val="00E02971"/>
    <w:rsid w:val="00E612FF"/>
    <w:rsid w:val="00EB1B31"/>
    <w:rsid w:val="00EF2F44"/>
    <w:rsid w:val="00F5148D"/>
    <w:rsid w:val="00F818D6"/>
    <w:rsid w:val="00FA074E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7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444BB2-E66D-44D9-9101-075A895C8FF4}"/>
</file>

<file path=customXml/itemProps2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4</cp:revision>
  <dcterms:created xsi:type="dcterms:W3CDTF">2025-02-11T04:54:00Z</dcterms:created>
  <dcterms:modified xsi:type="dcterms:W3CDTF">2025-08-11T20:06:00Z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