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75FB" w14:textId="77777777" w:rsidR="00705E91" w:rsidRPr="00572A8D" w:rsidRDefault="00255E26" w:rsidP="00572A8D">
      <w:pPr>
        <w:spacing w:before="120" w:line="240" w:lineRule="auto"/>
        <w:rPr>
          <w:rFonts w:ascii="Arial" w:hAnsi="Arial" w:cs="Arial"/>
          <w:b/>
          <w:bCs/>
          <w:sz w:val="22"/>
        </w:rPr>
      </w:pPr>
      <w:r w:rsidRPr="00572A8D">
        <w:rPr>
          <w:rFonts w:ascii="Arial" w:hAnsi="Arial" w:cs="Arial"/>
          <w:b/>
          <w:bCs/>
          <w:sz w:val="22"/>
        </w:rPr>
        <w:t>From crisis to control: DE-led 12</w:t>
      </w:r>
      <w:r w:rsidRPr="00572A8D">
        <w:rPr>
          <w:rFonts w:ascii="Cambria Math" w:hAnsi="Cambria Math" w:cs="Cambria Math"/>
          <w:b/>
          <w:bCs/>
          <w:sz w:val="22"/>
        </w:rPr>
        <w:t>‑</w:t>
      </w:r>
      <w:r w:rsidRPr="00572A8D">
        <w:rPr>
          <w:rFonts w:ascii="Arial" w:hAnsi="Arial" w:cs="Arial"/>
          <w:b/>
          <w:bCs/>
          <w:sz w:val="22"/>
        </w:rPr>
        <w:t>month pathway for a young adult with T1D, intellectual disability, and recurrent DKA (single-case improvement evaluation)</w:t>
      </w:r>
    </w:p>
    <w:p w14:paraId="39CF0A3B" w14:textId="77777777" w:rsidR="00D93FA2" w:rsidRPr="00572A8D" w:rsidRDefault="00D93FA2" w:rsidP="00572A8D">
      <w:pPr>
        <w:spacing w:line="240" w:lineRule="auto"/>
        <w:rPr>
          <w:rFonts w:ascii="Arial" w:hAnsi="Arial" w:cs="Arial"/>
          <w:b/>
          <w:bCs/>
          <w:sz w:val="22"/>
        </w:rPr>
      </w:pPr>
    </w:p>
    <w:p w14:paraId="7F5EE4FC" w14:textId="7F13CED7" w:rsidR="00D93FA2" w:rsidRPr="00572A8D" w:rsidRDefault="00255E26" w:rsidP="00572A8D">
      <w:pPr>
        <w:spacing w:before="120" w:line="240" w:lineRule="auto"/>
        <w:rPr>
          <w:rFonts w:ascii="Arial" w:hAnsi="Arial" w:cs="Arial"/>
          <w:sz w:val="22"/>
        </w:rPr>
      </w:pPr>
      <w:r w:rsidRPr="00572A8D">
        <w:rPr>
          <w:rFonts w:ascii="Arial" w:hAnsi="Arial" w:cs="Arial"/>
          <w:b/>
          <w:bCs/>
          <w:sz w:val="22"/>
        </w:rPr>
        <w:t>Background &amp; Aim:</w:t>
      </w:r>
      <w:r w:rsidRPr="00572A8D">
        <w:rPr>
          <w:rFonts w:ascii="Arial" w:hAnsi="Arial" w:cs="Arial"/>
          <w:sz w:val="22"/>
        </w:rPr>
        <w:br/>
        <w:t>Young adults living with type 1 diabetes (T1D) who also experience cognitive or psychosocial complexity commonly present with highly unstable glycaemia and frequent diabetic ketoacidosis (DKA). Engagement with traditional clinic-based models is often inconsistent, leading to repeated episodes of acute metabolic decompensation. This case describes a 19-year-old young adult with T1D, diagnosed at age 14, who also has an intellectual disability (IQ 58) and is a new parent. At intake to the Young Adult Diabete</w:t>
      </w:r>
      <w:r w:rsidRPr="00572A8D">
        <w:rPr>
          <w:rFonts w:ascii="Arial" w:hAnsi="Arial" w:cs="Arial"/>
          <w:sz w:val="22"/>
        </w:rPr>
        <w:t>s Service (YADS), the patient demonstrated extreme dysglycaemia with CGM Time-in-Range (TIR) 0%, Very High 97%, estimated GMI ~12.3%, and three DKA events across January–May 2025. The aim of this evaluation was to examine the impact of a structured, diabetes-educator-led (DE-led) 12-month pathway on glycaemia, engagement, and safety.</w:t>
      </w:r>
    </w:p>
    <w:p w14:paraId="7264462E" w14:textId="7ED0A56C" w:rsidR="00D93FA2" w:rsidRPr="00572A8D" w:rsidRDefault="00255E26" w:rsidP="00572A8D">
      <w:pPr>
        <w:spacing w:before="120" w:line="240" w:lineRule="auto"/>
        <w:rPr>
          <w:rFonts w:ascii="Arial" w:hAnsi="Arial" w:cs="Arial"/>
          <w:b/>
          <w:bCs/>
          <w:sz w:val="22"/>
        </w:rPr>
      </w:pPr>
      <w:r w:rsidRPr="00572A8D">
        <w:rPr>
          <w:rFonts w:ascii="Arial" w:hAnsi="Arial" w:cs="Arial"/>
          <w:b/>
          <w:bCs/>
          <w:sz w:val="22"/>
        </w:rPr>
        <w:t>Methods:</w:t>
      </w:r>
      <w:r w:rsidRPr="00572A8D">
        <w:rPr>
          <w:rFonts w:ascii="Arial" w:hAnsi="Arial" w:cs="Arial"/>
          <w:sz w:val="22"/>
        </w:rPr>
        <w:br/>
        <w:t xml:space="preserve">A single-case service-improvement design was used within YADS. The intervention consisted of weekly DE phone contact for 12 months, supplemented by two-monthly team reviews and ad-hoc endocrinology registrar input for safety concerns. Education focused on sick-day management, ketone </w:t>
      </w:r>
      <w:r w:rsidR="00E50D72" w:rsidRPr="00572A8D">
        <w:rPr>
          <w:rFonts w:ascii="Arial" w:hAnsi="Arial" w:cs="Arial"/>
          <w:sz w:val="22"/>
        </w:rPr>
        <w:t>management</w:t>
      </w:r>
      <w:r w:rsidRPr="00572A8D">
        <w:rPr>
          <w:rFonts w:ascii="Arial" w:hAnsi="Arial" w:cs="Arial"/>
          <w:sz w:val="22"/>
        </w:rPr>
        <w:t>, insulin adjustment, and CGM interpretation. Data included CGM summaries (Dexcom/Glooko), pump downloads, and clinical documentation. The patient transitioned to YpsoPump on 16 February 2026.</w:t>
      </w:r>
      <w:bookmarkStart w:id="0" w:name="_Hlk224136982"/>
    </w:p>
    <w:p w14:paraId="739CFB83" w14:textId="1B0BFFD3" w:rsidR="00705E91" w:rsidRPr="00572A8D" w:rsidRDefault="00255E26" w:rsidP="00572A8D">
      <w:pPr>
        <w:spacing w:before="120" w:line="240" w:lineRule="auto"/>
        <w:rPr>
          <w:rFonts w:ascii="Arial" w:hAnsi="Arial" w:cs="Arial"/>
          <w:sz w:val="22"/>
        </w:rPr>
      </w:pPr>
      <w:r w:rsidRPr="00572A8D">
        <w:rPr>
          <w:rFonts w:ascii="Arial" w:hAnsi="Arial" w:cs="Arial"/>
          <w:b/>
          <w:bCs/>
          <w:sz w:val="22"/>
        </w:rPr>
        <w:t>Results:</w:t>
      </w:r>
      <w:bookmarkEnd w:id="0"/>
      <w:r w:rsidRPr="00572A8D">
        <w:rPr>
          <w:rFonts w:ascii="Arial" w:hAnsi="Arial" w:cs="Arial"/>
          <w:sz w:val="22"/>
        </w:rPr>
        <w:br/>
        <w:t xml:space="preserve">Substantial </w:t>
      </w:r>
      <w:proofErr w:type="spellStart"/>
      <w:r w:rsidRPr="00572A8D">
        <w:rPr>
          <w:rFonts w:ascii="Arial" w:hAnsi="Arial" w:cs="Arial"/>
          <w:sz w:val="22"/>
        </w:rPr>
        <w:t>glycaemic</w:t>
      </w:r>
      <w:proofErr w:type="spellEnd"/>
      <w:r w:rsidRPr="00572A8D">
        <w:rPr>
          <w:rFonts w:ascii="Arial" w:hAnsi="Arial" w:cs="Arial"/>
          <w:sz w:val="22"/>
        </w:rPr>
        <w:t xml:space="preserve"> improvement occurred from baseline to pump start and through to current data (March 2026). TIR increased from 0% to 75%, with Very High glucose decreasing from 97% to 1%. No further DKA episodes occurred following early 2025, with one self-initiated ED presentation for illness in October 2025. Pump therapy resulted in a physiological insulin distribution (60% basal / 40% bolus) and improved bolus consistency.</w:t>
      </w:r>
    </w:p>
    <w:p w14:paraId="6869D5CF" w14:textId="77777777" w:rsidR="000B543E" w:rsidRDefault="000B543E" w:rsidP="000B543E">
      <w:pPr>
        <w:spacing w:before="120"/>
        <w:jc w:val="center"/>
      </w:pPr>
      <w:r>
        <w:rPr>
          <w:noProof/>
        </w:rPr>
        <w:lastRenderedPageBreak/>
        <w:drawing>
          <wp:inline distT="0" distB="0" distL="0" distR="0" wp14:anchorId="15D0B538" wp14:editId="02C4DA66">
            <wp:extent cx="5029200" cy="3017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r_graph_flipped_key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D1AE" w14:textId="06233CFA" w:rsidR="00C41BE0" w:rsidRDefault="00255E26" w:rsidP="00572A8D">
      <w:pPr>
        <w:spacing w:before="120"/>
        <w:jc w:val="center"/>
      </w:pPr>
      <w:r>
        <w:rPr>
          <w:i/>
          <w:sz w:val="22"/>
        </w:rPr>
        <w:t>Figure 1. CGM distribution across time points.</w:t>
      </w:r>
    </w:p>
    <w:p w14:paraId="3B4A6F8F" w14:textId="77777777" w:rsidR="00C0387B" w:rsidRPr="00572A8D" w:rsidRDefault="00C0387B" w:rsidP="00572A8D">
      <w:pPr>
        <w:spacing w:before="120" w:line="240" w:lineRule="auto"/>
        <w:rPr>
          <w:rFonts w:ascii="Arial" w:hAnsi="Arial" w:cs="Arial"/>
          <w:b/>
          <w:bCs/>
          <w:sz w:val="22"/>
        </w:rPr>
      </w:pPr>
      <w:r w:rsidRPr="00572A8D">
        <w:rPr>
          <w:rFonts w:ascii="Arial" w:hAnsi="Arial" w:cs="Arial"/>
          <w:b/>
          <w:bCs/>
          <w:sz w:val="22"/>
        </w:rPr>
        <w:t>Conclusion:</w:t>
      </w:r>
    </w:p>
    <w:p w14:paraId="31A68669" w14:textId="77777777" w:rsidR="00C0387B" w:rsidRPr="00572A8D" w:rsidRDefault="00C0387B" w:rsidP="00572A8D">
      <w:pPr>
        <w:spacing w:before="120" w:line="240" w:lineRule="auto"/>
        <w:rPr>
          <w:rFonts w:ascii="Arial" w:hAnsi="Arial" w:cs="Arial"/>
          <w:b/>
          <w:bCs/>
          <w:sz w:val="22"/>
        </w:rPr>
      </w:pPr>
      <w:r w:rsidRPr="00572A8D">
        <w:rPr>
          <w:rFonts w:ascii="Arial" w:hAnsi="Arial" w:cs="Arial"/>
          <w:sz w:val="22"/>
        </w:rPr>
        <w:t xml:space="preserve">A high-frequency DE-led model supported significant stabilization of glycaemia, reduced acute presentations, and improved self-management </w:t>
      </w:r>
      <w:proofErr w:type="spellStart"/>
      <w:r w:rsidRPr="00572A8D">
        <w:rPr>
          <w:rFonts w:ascii="Arial" w:hAnsi="Arial" w:cs="Arial"/>
          <w:sz w:val="22"/>
        </w:rPr>
        <w:t>behaviours</w:t>
      </w:r>
      <w:proofErr w:type="spellEnd"/>
      <w:r w:rsidRPr="00572A8D">
        <w:rPr>
          <w:rFonts w:ascii="Arial" w:hAnsi="Arial" w:cs="Arial"/>
          <w:sz w:val="22"/>
        </w:rPr>
        <w:t xml:space="preserve"> in a young adult with cognitive vulnerability. Findings highlight the potential of proactive outreach and flexible pump pathways for complex young adults.</w:t>
      </w:r>
    </w:p>
    <w:p w14:paraId="5C7F2C3B" w14:textId="77777777" w:rsidR="00C41BE0" w:rsidRDefault="00C41BE0" w:rsidP="000B543E">
      <w:pPr>
        <w:pStyle w:val="Heading2"/>
        <w:spacing w:before="120"/>
      </w:pPr>
    </w:p>
    <w:sectPr w:rsidR="00C41B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6783812">
    <w:abstractNumId w:val="8"/>
  </w:num>
  <w:num w:numId="2" w16cid:durableId="1388148391">
    <w:abstractNumId w:val="6"/>
  </w:num>
  <w:num w:numId="3" w16cid:durableId="1229536135">
    <w:abstractNumId w:val="5"/>
  </w:num>
  <w:num w:numId="4" w16cid:durableId="759522001">
    <w:abstractNumId w:val="4"/>
  </w:num>
  <w:num w:numId="5" w16cid:durableId="1481579279">
    <w:abstractNumId w:val="7"/>
  </w:num>
  <w:num w:numId="6" w16cid:durableId="1169062012">
    <w:abstractNumId w:val="3"/>
  </w:num>
  <w:num w:numId="7" w16cid:durableId="1048845639">
    <w:abstractNumId w:val="2"/>
  </w:num>
  <w:num w:numId="8" w16cid:durableId="1043753017">
    <w:abstractNumId w:val="1"/>
  </w:num>
  <w:num w:numId="9" w16cid:durableId="214122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43E"/>
    <w:rsid w:val="0015074B"/>
    <w:rsid w:val="00255E26"/>
    <w:rsid w:val="0029639D"/>
    <w:rsid w:val="00326F90"/>
    <w:rsid w:val="00572A8D"/>
    <w:rsid w:val="006F340A"/>
    <w:rsid w:val="00705E91"/>
    <w:rsid w:val="00AA1D8D"/>
    <w:rsid w:val="00B1669D"/>
    <w:rsid w:val="00B47730"/>
    <w:rsid w:val="00C0387B"/>
    <w:rsid w:val="00C41BE0"/>
    <w:rsid w:val="00CB0664"/>
    <w:rsid w:val="00CE68D2"/>
    <w:rsid w:val="00D525B1"/>
    <w:rsid w:val="00D93FA2"/>
    <w:rsid w:val="00E50D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C232F6"/>
  <w14:defaultImageDpi w14:val="300"/>
  <w15:docId w15:val="{4FC6E575-A961-4772-B9B8-204EFAC4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B360C6-DA76-4AE8-BA96-50AA03970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1D0E9-15CA-4725-B890-D608E9D0F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FBE57-CACD-4651-872D-2E01D9FA2890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Tanya Yandall</cp:lastModifiedBy>
  <cp:revision>3</cp:revision>
  <dcterms:created xsi:type="dcterms:W3CDTF">2026-03-17T03:25:00Z</dcterms:created>
  <dcterms:modified xsi:type="dcterms:W3CDTF">2026-03-17T03:26:00Z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