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82DD" w14:textId="6ADD2715" w:rsidR="00CB7643" w:rsidRPr="00A842AD" w:rsidRDefault="004B2F41" w:rsidP="00CB76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4B2F41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Abstract title</w:t>
      </w: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:</w:t>
      </w:r>
      <w:r w:rsidRPr="004B2F41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CB7643" w:rsidRPr="00BD3D10">
        <w:rPr>
          <w:rStyle w:val="normaltextrun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 xml:space="preserve">HbA1c and diabetes-specific quality of life changes following structured type 1 diabetes education: exploratory latent profile analysis in the </w:t>
      </w:r>
      <w:proofErr w:type="spellStart"/>
      <w:r w:rsidR="00CB7643" w:rsidRPr="00BD3D10">
        <w:rPr>
          <w:rStyle w:val="normaltextrun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DAFNE</w:t>
      </w:r>
      <w:r w:rsidR="00CB7643" w:rsidRPr="00BD3D10">
        <w:rPr>
          <w:rStyle w:val="normaltextrun"/>
          <w:rFonts w:ascii="Arial" w:eastAsiaTheme="majorEastAsia" w:hAnsi="Arial" w:cs="Arial"/>
          <w:i/>
          <w:iCs/>
          <w:color w:val="000000"/>
          <w:sz w:val="22"/>
          <w:szCs w:val="22"/>
          <w:shd w:val="clear" w:color="auto" w:fill="FFFFFF"/>
        </w:rPr>
        <w:t>plus</w:t>
      </w:r>
      <w:proofErr w:type="spellEnd"/>
      <w:r w:rsidR="00CB7643" w:rsidRPr="00BD3D10">
        <w:rPr>
          <w:rStyle w:val="normaltextrun"/>
          <w:rFonts w:ascii="Arial" w:eastAsiaTheme="majorEastAsia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CB7643" w:rsidRPr="00BD3D10">
        <w:rPr>
          <w:rStyle w:val="normaltextrun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trial</w:t>
      </w:r>
    </w:p>
    <w:p w14:paraId="74E725E8" w14:textId="77777777" w:rsidR="00CB7643" w:rsidRPr="00A842AD" w:rsidRDefault="00CB7643" w:rsidP="00CB764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521CB6AA" w14:textId="7FCB242C" w:rsidR="00CB7643" w:rsidRPr="00A842AD" w:rsidRDefault="00270AFF" w:rsidP="00CB76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270AFF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Abstract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:</w:t>
      </w:r>
      <w:r w:rsidRPr="00270AFF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</w:p>
    <w:p w14:paraId="329877E4" w14:textId="61808A1B" w:rsidR="00CB7643" w:rsidRPr="00A842AD" w:rsidRDefault="00094455" w:rsidP="00CB7643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color w:val="000000" w:themeColor="text1"/>
          <w:sz w:val="22"/>
          <w:szCs w:val="22"/>
        </w:rPr>
      </w:pPr>
      <w:r w:rsidRPr="00A842A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</w:t>
      </w:r>
      <w:r w:rsidR="00CB7643" w:rsidRPr="00A842A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im:</w:t>
      </w:r>
      <w:r w:rsidR="00CB7643" w:rsidRPr="00A842AD">
        <w:rPr>
          <w:rStyle w:val="normaltextrun"/>
          <w:rFonts w:ascii="Arial" w:eastAsiaTheme="majorEastAsia" w:hAnsi="Arial" w:cs="Arial"/>
          <w:color w:val="D13438"/>
          <w:sz w:val="22"/>
          <w:szCs w:val="22"/>
          <w:shd w:val="clear" w:color="auto" w:fill="FFFFFF"/>
          <w:lang w:val="en-US"/>
        </w:rPr>
        <w:t> </w:t>
      </w:r>
      <w:r w:rsidR="00CB7643" w:rsidRPr="00A842AD">
        <w:rPr>
          <w:rStyle w:val="normaltextrun"/>
          <w:rFonts w:ascii="Arial" w:eastAsiaTheme="majorEastAsia" w:hAnsi="Arial" w:cs="Arial"/>
          <w:b/>
          <w:bCs/>
          <w:color w:val="D13438"/>
          <w:sz w:val="22"/>
          <w:szCs w:val="22"/>
        </w:rPr>
        <w:t xml:space="preserve"> </w:t>
      </w:r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Dose Adjustment </w:t>
      </w:r>
      <w:proofErr w:type="gramStart"/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For</w:t>
      </w:r>
      <w:proofErr w:type="gramEnd"/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Normal Eating (DAFNE) is an evidence-based, 5-day, group programme supporting adults with type 1 diabetes (T1D) to develop their self-management skills, optimising their glycaemic management, health and quality of life</w:t>
      </w:r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(QoL)</w:t>
      </w:r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. Despite proven effectiveness, DAFNE ‘graduates’ find it challenging to maintain real-world benefits. Thus, a recent cluster randomised controlled trial (</w:t>
      </w:r>
      <w:proofErr w:type="spellStart"/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cRCT</w:t>
      </w:r>
      <w:proofErr w:type="spellEnd"/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) compared DAFNE to enhanced DAFNE, aka </w:t>
      </w:r>
      <w:proofErr w:type="spellStart"/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DAFNE</w:t>
      </w:r>
      <w:r w:rsidR="00CB7643" w:rsidRPr="00A842AD">
        <w:rPr>
          <w:rStyle w:val="normaltextrun"/>
          <w:rFonts w:ascii="Arial" w:eastAsiaTheme="majorEastAsia" w:hAnsi="Arial" w:cs="Arial"/>
          <w:i/>
          <w:iCs/>
          <w:color w:val="000000" w:themeColor="text1"/>
          <w:sz w:val="22"/>
          <w:szCs w:val="22"/>
        </w:rPr>
        <w:t>plus</w:t>
      </w:r>
      <w:proofErr w:type="spellEnd"/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. The aims of this secondary analysis were to determine whether: a) there are meaningful </w:t>
      </w:r>
      <w:r w:rsidR="00CB7643" w:rsidRPr="00A842AD">
        <w:rPr>
          <w:rStyle w:val="normaltextrun"/>
          <w:rFonts w:ascii="Arial" w:eastAsiaTheme="majorEastAsia" w:hAnsi="Arial" w:cs="Arial"/>
          <w:sz w:val="22"/>
          <w:szCs w:val="22"/>
        </w:rPr>
        <w:t xml:space="preserve">clusters of participants with shared characteristics; b) identified clusters respond differently to DAFNE and </w:t>
      </w:r>
      <w:proofErr w:type="spellStart"/>
      <w:r w:rsidR="00CB7643" w:rsidRPr="00A842AD">
        <w:rPr>
          <w:rStyle w:val="normaltextrun"/>
          <w:rFonts w:ascii="Arial" w:eastAsiaTheme="majorEastAsia" w:hAnsi="Arial" w:cs="Arial"/>
          <w:sz w:val="22"/>
          <w:szCs w:val="22"/>
        </w:rPr>
        <w:t>DAFNE</w:t>
      </w:r>
      <w:r w:rsidR="00CB7643" w:rsidRPr="00A842AD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plus</w:t>
      </w:r>
      <w:proofErr w:type="spellEnd"/>
      <w:r w:rsidR="00CB7643" w:rsidRPr="00A842AD">
        <w:rPr>
          <w:rStyle w:val="normaltextrun"/>
          <w:rFonts w:ascii="Arial" w:eastAsiaTheme="majorEastAsia" w:hAnsi="Arial" w:cs="Arial"/>
          <w:sz w:val="22"/>
          <w:szCs w:val="22"/>
        </w:rPr>
        <w:t xml:space="preserve"> at 12-month follow-up in terms of HbA1c and diabetes-specific </w:t>
      </w:r>
      <w:r w:rsidRPr="00A842AD">
        <w:rPr>
          <w:rStyle w:val="normaltextrun"/>
          <w:rFonts w:ascii="Arial" w:eastAsiaTheme="majorEastAsia" w:hAnsi="Arial" w:cs="Arial"/>
          <w:sz w:val="22"/>
          <w:szCs w:val="22"/>
        </w:rPr>
        <w:t>QoL</w:t>
      </w:r>
      <w:r w:rsidR="00CB7643" w:rsidRPr="00A842AD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 w:rsidR="00CB7643" w:rsidRPr="00A842AD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E3C4165" w14:textId="77777777" w:rsidR="00CB7643" w:rsidRPr="00A842AD" w:rsidRDefault="00CB7643" w:rsidP="00CB764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842AD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8A571D2" w14:textId="3D28D54B" w:rsidR="00CB7643" w:rsidRPr="00A842AD" w:rsidRDefault="00094455" w:rsidP="00CB764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842AD">
        <w:rPr>
          <w:rStyle w:val="normaltextrun"/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M</w:t>
      </w:r>
      <w:r w:rsidR="00CB7643" w:rsidRPr="00A842AD">
        <w:rPr>
          <w:rStyle w:val="normaltextrun"/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ethod</w:t>
      </w:r>
      <w:r w:rsidR="004C3266" w:rsidRPr="00A842AD">
        <w:rPr>
          <w:rStyle w:val="normaltextrun"/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s</w:t>
      </w:r>
      <w:r w:rsidR="00CB7643" w:rsidRPr="00A842AD">
        <w:rPr>
          <w:rStyle w:val="normaltextrun"/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Latent profile analysis was conducted </w:t>
      </w:r>
      <w:proofErr w:type="gramStart"/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using:</w:t>
      </w:r>
      <w:proofErr w:type="gramEnd"/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age; HbA1c; hypoglycaemia awareness; diabetes-specific quality of life (ADDQoL-15 Average Weighted Impact (AWI)), diabetes distress (PAID-20); diabetes-specific positive well-being (W-BQ28); fear of hypoglycaemia (HFS-II); and satisfaction with diabetes management (DME-Q). Model fit indices were used to select number of </w:t>
      </w:r>
      <w:proofErr w:type="gramStart"/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clusters</w:t>
      </w:r>
      <w:proofErr w:type="gramEnd"/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and, in each cluster, multilevel linear regression models were used to estimate the effect of </w:t>
      </w:r>
      <w:proofErr w:type="spellStart"/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DAFNEplus</w:t>
      </w:r>
      <w:proofErr w:type="spellEnd"/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(versus DAFNE) on HbA1c and diabetes-specific </w:t>
      </w:r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QoL</w:t>
      </w:r>
      <w:r w:rsidR="00CB7643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. </w:t>
      </w:r>
      <w:r w:rsidR="00CB7643" w:rsidRPr="00A842AD">
        <w:rPr>
          <w:rStyle w:val="eop"/>
          <w:rFonts w:ascii="Arial" w:eastAsiaTheme="majorEastAsia" w:hAnsi="Arial" w:cs="Arial"/>
          <w:color w:val="000000" w:themeColor="text1"/>
          <w:sz w:val="22"/>
          <w:szCs w:val="22"/>
        </w:rPr>
        <w:t> </w:t>
      </w:r>
    </w:p>
    <w:p w14:paraId="4E0C4C9F" w14:textId="77777777" w:rsidR="00CB7643" w:rsidRPr="00A842AD" w:rsidRDefault="00CB7643" w:rsidP="00CB764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842AD">
        <w:rPr>
          <w:rStyle w:val="eop"/>
          <w:rFonts w:ascii="Arial" w:eastAsiaTheme="majorEastAsia" w:hAnsi="Arial" w:cs="Arial"/>
          <w:color w:val="000000" w:themeColor="text1"/>
          <w:sz w:val="22"/>
          <w:szCs w:val="22"/>
        </w:rPr>
        <w:t> </w:t>
      </w:r>
    </w:p>
    <w:p w14:paraId="48E4469A" w14:textId="628B7C48" w:rsidR="00CB7643" w:rsidRPr="00A842AD" w:rsidRDefault="00CB7643" w:rsidP="00CB764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842AD">
        <w:rPr>
          <w:rStyle w:val="normaltextrun"/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Results:</w:t>
      </w:r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A total of N=363 participants were included in the analysis (n=147 (40%) randomised to </w:t>
      </w:r>
      <w:proofErr w:type="spellStart"/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DAFNEplus</w:t>
      </w:r>
      <w:proofErr w:type="spellEnd"/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). The final model included two clusters </w:t>
      </w:r>
      <w:r w:rsidRPr="00A842AD">
        <w:rPr>
          <w:rFonts w:ascii="Arial" w:eastAsiaTheme="majorEastAsia" w:hAnsi="Arial" w:cs="Arial"/>
          <w:color w:val="000000" w:themeColor="text1"/>
          <w:sz w:val="22"/>
          <w:szCs w:val="22"/>
          <w:lang w:val="en-AU"/>
        </w:rPr>
        <w:t xml:space="preserve">which were differentiated by overall worse (cluster 1) versus better (cluster 2) </w:t>
      </w:r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clinical and psychological indicator variables. At 12 months, there was a significant adjusted mean difference between arms in diabetes-specific </w:t>
      </w:r>
      <w:r w:rsidR="00094455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QoL</w:t>
      </w:r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A842AD">
        <w:rPr>
          <w:rFonts w:ascii="Arial" w:hAnsi="Arial" w:cs="Arial"/>
          <w:sz w:val="22"/>
          <w:szCs w:val="22"/>
        </w:rPr>
        <w:t>ADDQoL</w:t>
      </w:r>
      <w:proofErr w:type="spellEnd"/>
      <w:r w:rsidRPr="00A842AD">
        <w:rPr>
          <w:rFonts w:ascii="Arial" w:hAnsi="Arial" w:cs="Arial"/>
          <w:sz w:val="22"/>
          <w:szCs w:val="22"/>
        </w:rPr>
        <w:t>: 0.81</w:t>
      </w:r>
      <w:r w:rsidRPr="00A842AD">
        <w:rPr>
          <w:rFonts w:ascii="Arial" w:hAnsi="Arial" w:cs="Arial"/>
          <w:i/>
          <w:iCs/>
          <w:sz w:val="22"/>
          <w:szCs w:val="22"/>
        </w:rPr>
        <w:t xml:space="preserve"> p</w:t>
      </w:r>
      <w:r w:rsidRPr="00A842AD">
        <w:rPr>
          <w:rFonts w:ascii="Arial" w:hAnsi="Arial" w:cs="Arial"/>
          <w:sz w:val="22"/>
          <w:szCs w:val="22"/>
        </w:rPr>
        <w:t>=0.01</w:t>
      </w:r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), favouring </w:t>
      </w:r>
      <w:proofErr w:type="spellStart"/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DAFNE</w:t>
      </w:r>
      <w:r w:rsidRPr="00A842AD">
        <w:rPr>
          <w:rStyle w:val="normaltextrun"/>
          <w:rFonts w:ascii="Arial" w:eastAsiaTheme="majorEastAsia" w:hAnsi="Arial" w:cs="Arial"/>
          <w:i/>
          <w:iCs/>
          <w:color w:val="000000" w:themeColor="text1"/>
          <w:sz w:val="22"/>
          <w:szCs w:val="22"/>
        </w:rPr>
        <w:t>plus</w:t>
      </w:r>
      <w:proofErr w:type="spellEnd"/>
      <w:r w:rsidRPr="00A842AD">
        <w:rPr>
          <w:rStyle w:val="normaltextrun"/>
          <w:rFonts w:ascii="Arial" w:eastAsiaTheme="majorEastAsia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(Cluster 1 only), but not in HbA1c (Figure 1).</w:t>
      </w:r>
      <w:r w:rsidRPr="00A842AD">
        <w:rPr>
          <w:rStyle w:val="normaltextrun"/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842AD">
        <w:rPr>
          <w:rStyle w:val="eop"/>
          <w:rFonts w:ascii="Arial" w:eastAsiaTheme="majorEastAsia" w:hAnsi="Arial" w:cs="Arial"/>
          <w:color w:val="000000" w:themeColor="text1"/>
          <w:sz w:val="22"/>
          <w:szCs w:val="22"/>
        </w:rPr>
        <w:t> </w:t>
      </w:r>
    </w:p>
    <w:p w14:paraId="78756FC9" w14:textId="77777777" w:rsidR="00CB7643" w:rsidRPr="00A842AD" w:rsidRDefault="00CB7643" w:rsidP="00CB764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A842AD">
        <w:rPr>
          <w:rStyle w:val="eop"/>
          <w:rFonts w:ascii="Arial" w:eastAsiaTheme="majorEastAsia" w:hAnsi="Arial" w:cs="Arial"/>
          <w:color w:val="000000" w:themeColor="text1"/>
          <w:sz w:val="22"/>
          <w:szCs w:val="22"/>
        </w:rPr>
        <w:t> </w:t>
      </w:r>
    </w:p>
    <w:p w14:paraId="4C4E7D29" w14:textId="6C351333" w:rsidR="00CB7643" w:rsidRPr="00A842AD" w:rsidRDefault="00CB7643" w:rsidP="00CB764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842AD">
        <w:rPr>
          <w:rStyle w:val="normaltextrun"/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Conclusion: </w:t>
      </w:r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These findings suggest that adults with T1D eligible for the </w:t>
      </w:r>
      <w:proofErr w:type="spellStart"/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DAFNE</w:t>
      </w:r>
      <w:r w:rsidRPr="00A842AD">
        <w:rPr>
          <w:rStyle w:val="normaltextrun"/>
          <w:rFonts w:ascii="Arial" w:eastAsiaTheme="majorEastAsia" w:hAnsi="Arial" w:cs="Arial"/>
          <w:i/>
          <w:iCs/>
          <w:color w:val="000000" w:themeColor="text1"/>
          <w:sz w:val="22"/>
          <w:szCs w:val="22"/>
        </w:rPr>
        <w:t>plus</w:t>
      </w:r>
      <w:proofErr w:type="spellEnd"/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cRCT</w:t>
      </w:r>
      <w:proofErr w:type="spellEnd"/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fit broadly into two clusters, with one cluster experiencing significant added benefit following </w:t>
      </w:r>
      <w:proofErr w:type="spellStart"/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DAFNE</w:t>
      </w:r>
      <w:r w:rsidRPr="00A842AD">
        <w:rPr>
          <w:rStyle w:val="normaltextrun"/>
          <w:rFonts w:ascii="Arial" w:eastAsiaTheme="majorEastAsia" w:hAnsi="Arial" w:cs="Arial"/>
          <w:i/>
          <w:iCs/>
          <w:color w:val="000000" w:themeColor="text1"/>
          <w:sz w:val="22"/>
          <w:szCs w:val="22"/>
        </w:rPr>
        <w:t>plus</w:t>
      </w:r>
      <w:proofErr w:type="spellEnd"/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(compared to DAFNE) for </w:t>
      </w:r>
      <w:r w:rsidR="00094455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QoL</w:t>
      </w:r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at 12 months; but not HbA1c. </w:t>
      </w:r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Findings may inform </w:t>
      </w:r>
      <w:proofErr w:type="spellStart"/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shd w:val="clear" w:color="auto" w:fill="FFFFFF"/>
          <w:lang w:val="en-US"/>
        </w:rPr>
        <w:t>DAFNE</w:t>
      </w:r>
      <w:r w:rsidRPr="00A842AD">
        <w:rPr>
          <w:rStyle w:val="normaltextrun"/>
          <w:rFonts w:ascii="Arial" w:eastAsiaTheme="majorEastAsia" w:hAnsi="Arial" w:cs="Arial"/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>plus</w:t>
      </w:r>
      <w:proofErr w:type="spellEnd"/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shd w:val="clear" w:color="auto" w:fill="FFFFFF"/>
          <w:lang w:val="en-US"/>
        </w:rPr>
        <w:t>programme</w:t>
      </w:r>
      <w:proofErr w:type="spellEnd"/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eligibility and rollout considerations to enable </w:t>
      </w:r>
      <w:r w:rsidR="00094455"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shd w:val="clear" w:color="auto" w:fill="FFFFFF"/>
          <w:lang w:val="en-US"/>
        </w:rPr>
        <w:t>QoL</w:t>
      </w:r>
      <w:r w:rsidRPr="00A842A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benefits for those adults with T1D with greatest unmet needs.</w:t>
      </w:r>
    </w:p>
    <w:p w14:paraId="7A247392" w14:textId="057D0868" w:rsidR="00CB7643" w:rsidRPr="00A842AD" w:rsidRDefault="00CB7643" w:rsidP="00CB7643">
      <w:pPr>
        <w:rPr>
          <w:rFonts w:ascii="Arial" w:hAnsi="Arial" w:cs="Arial"/>
          <w:sz w:val="22"/>
          <w:szCs w:val="22"/>
        </w:rPr>
      </w:pPr>
    </w:p>
    <w:p w14:paraId="63729489" w14:textId="5A00B22C" w:rsidR="00CB7643" w:rsidRPr="00A842AD" w:rsidRDefault="00CB7643" w:rsidP="00CB7643">
      <w:pPr>
        <w:rPr>
          <w:rFonts w:ascii="Arial" w:hAnsi="Arial" w:cs="Arial"/>
          <w:b/>
          <w:bCs/>
          <w:sz w:val="22"/>
          <w:szCs w:val="22"/>
        </w:rPr>
      </w:pPr>
    </w:p>
    <w:p w14:paraId="6C0E8A00" w14:textId="20EDB335" w:rsidR="00CB7643" w:rsidRPr="00A842AD" w:rsidRDefault="00CB7643" w:rsidP="00CB7643">
      <w:pPr>
        <w:rPr>
          <w:rFonts w:ascii="Arial" w:hAnsi="Arial" w:cs="Arial"/>
          <w:sz w:val="22"/>
          <w:szCs w:val="22"/>
        </w:rPr>
      </w:pPr>
      <w:r w:rsidRPr="00A842AD">
        <w:rPr>
          <w:rFonts w:ascii="Arial" w:hAnsi="Arial" w:cs="Arial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0EEE3085" wp14:editId="5251044B">
            <wp:simplePos x="0" y="0"/>
            <wp:positionH relativeFrom="column">
              <wp:posOffset>-603885</wp:posOffset>
            </wp:positionH>
            <wp:positionV relativeFrom="paragraph">
              <wp:posOffset>173355</wp:posOffset>
            </wp:positionV>
            <wp:extent cx="6845935" cy="3735070"/>
            <wp:effectExtent l="0" t="0" r="0" b="5080"/>
            <wp:wrapTight wrapText="bothSides">
              <wp:wrapPolygon edited="0">
                <wp:start x="0" y="0"/>
                <wp:lineTo x="0" y="21554"/>
                <wp:lineTo x="21428" y="21554"/>
                <wp:lineTo x="21428" y="0"/>
                <wp:lineTo x="0" y="0"/>
              </wp:wrapPolygon>
            </wp:wrapTight>
            <wp:docPr id="285356101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56101" name="Picture 1" descr="A screenshot of a graph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87"/>
                    <a:stretch/>
                  </pic:blipFill>
                  <pic:spPr bwMode="auto">
                    <a:xfrm>
                      <a:off x="0" y="0"/>
                      <a:ext cx="6845935" cy="373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100DD" w14:textId="77777777" w:rsidR="00CB7643" w:rsidRPr="00A842AD" w:rsidRDefault="00CB7643" w:rsidP="00CB7643">
      <w:pPr>
        <w:rPr>
          <w:rFonts w:ascii="Arial" w:hAnsi="Arial" w:cs="Arial"/>
          <w:sz w:val="22"/>
          <w:szCs w:val="22"/>
        </w:rPr>
      </w:pPr>
    </w:p>
    <w:p w14:paraId="611AD043" w14:textId="77777777" w:rsidR="00CB7643" w:rsidRPr="00A842AD" w:rsidRDefault="00CB7643" w:rsidP="00CB7643">
      <w:pPr>
        <w:rPr>
          <w:rFonts w:ascii="Arial" w:hAnsi="Arial" w:cs="Arial"/>
          <w:sz w:val="22"/>
          <w:szCs w:val="22"/>
        </w:rPr>
      </w:pPr>
    </w:p>
    <w:p w14:paraId="5CB47A19" w14:textId="77777777" w:rsidR="00CB7643" w:rsidRPr="00A842AD" w:rsidRDefault="00CB7643" w:rsidP="00CB7643">
      <w:pPr>
        <w:rPr>
          <w:rFonts w:ascii="Arial" w:hAnsi="Arial" w:cs="Arial"/>
          <w:sz w:val="22"/>
          <w:szCs w:val="22"/>
        </w:rPr>
      </w:pPr>
    </w:p>
    <w:p w14:paraId="12BCF02B" w14:textId="77777777" w:rsidR="00CB7643" w:rsidRPr="00A842AD" w:rsidRDefault="00CB7643" w:rsidP="00CB7643">
      <w:pPr>
        <w:rPr>
          <w:rFonts w:ascii="Arial" w:hAnsi="Arial" w:cs="Arial"/>
          <w:sz w:val="22"/>
          <w:szCs w:val="22"/>
        </w:rPr>
      </w:pPr>
    </w:p>
    <w:p w14:paraId="7556685A" w14:textId="77777777" w:rsidR="00CB7643" w:rsidRPr="00A842AD" w:rsidRDefault="00CB7643" w:rsidP="00CB7643">
      <w:pPr>
        <w:rPr>
          <w:rFonts w:ascii="Arial" w:hAnsi="Arial" w:cs="Arial"/>
          <w:sz w:val="22"/>
          <w:szCs w:val="22"/>
        </w:rPr>
      </w:pPr>
    </w:p>
    <w:p w14:paraId="090A2603" w14:textId="77777777" w:rsidR="00CE30A5" w:rsidRPr="00A842AD" w:rsidRDefault="00CE30A5">
      <w:pPr>
        <w:rPr>
          <w:rFonts w:ascii="Arial" w:hAnsi="Arial" w:cs="Arial"/>
          <w:sz w:val="22"/>
          <w:szCs w:val="22"/>
        </w:rPr>
      </w:pPr>
    </w:p>
    <w:sectPr w:rsidR="00CE30A5" w:rsidRPr="00A84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79B5"/>
    <w:multiLevelType w:val="multilevel"/>
    <w:tmpl w:val="B67C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F4547"/>
    <w:multiLevelType w:val="multilevel"/>
    <w:tmpl w:val="044077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57EA6"/>
    <w:multiLevelType w:val="multilevel"/>
    <w:tmpl w:val="A56CA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6469B"/>
    <w:multiLevelType w:val="multilevel"/>
    <w:tmpl w:val="E378F5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038050">
    <w:abstractNumId w:val="0"/>
  </w:num>
  <w:num w:numId="2" w16cid:durableId="1462572394">
    <w:abstractNumId w:val="3"/>
  </w:num>
  <w:num w:numId="3" w16cid:durableId="49695773">
    <w:abstractNumId w:val="1"/>
  </w:num>
  <w:num w:numId="4" w16cid:durableId="653803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43"/>
    <w:rsid w:val="00001C4B"/>
    <w:rsid w:val="000053BC"/>
    <w:rsid w:val="000107E1"/>
    <w:rsid w:val="000145C1"/>
    <w:rsid w:val="00020487"/>
    <w:rsid w:val="0002219A"/>
    <w:rsid w:val="00024F00"/>
    <w:rsid w:val="00037C57"/>
    <w:rsid w:val="00037E8F"/>
    <w:rsid w:val="00041A09"/>
    <w:rsid w:val="00044513"/>
    <w:rsid w:val="000501AC"/>
    <w:rsid w:val="00050268"/>
    <w:rsid w:val="000520A2"/>
    <w:rsid w:val="0006291F"/>
    <w:rsid w:val="000711E4"/>
    <w:rsid w:val="00094455"/>
    <w:rsid w:val="000A3490"/>
    <w:rsid w:val="000C0859"/>
    <w:rsid w:val="000C2C46"/>
    <w:rsid w:val="000D1821"/>
    <w:rsid w:val="000E3FF2"/>
    <w:rsid w:val="00100A43"/>
    <w:rsid w:val="001042B0"/>
    <w:rsid w:val="001053F6"/>
    <w:rsid w:val="001302D3"/>
    <w:rsid w:val="001374F3"/>
    <w:rsid w:val="0013777C"/>
    <w:rsid w:val="001540B9"/>
    <w:rsid w:val="00157F73"/>
    <w:rsid w:val="00166B04"/>
    <w:rsid w:val="001733B0"/>
    <w:rsid w:val="00180C33"/>
    <w:rsid w:val="001848C4"/>
    <w:rsid w:val="00186C2B"/>
    <w:rsid w:val="001B78EA"/>
    <w:rsid w:val="001D624C"/>
    <w:rsid w:val="0021128F"/>
    <w:rsid w:val="002117FE"/>
    <w:rsid w:val="00215006"/>
    <w:rsid w:val="002263DB"/>
    <w:rsid w:val="0022666A"/>
    <w:rsid w:val="002300AF"/>
    <w:rsid w:val="00246AA9"/>
    <w:rsid w:val="0026144C"/>
    <w:rsid w:val="00270AFF"/>
    <w:rsid w:val="00273AC1"/>
    <w:rsid w:val="00297CD4"/>
    <w:rsid w:val="002A4ED4"/>
    <w:rsid w:val="002A7278"/>
    <w:rsid w:val="002B17C8"/>
    <w:rsid w:val="002C7944"/>
    <w:rsid w:val="002E43E9"/>
    <w:rsid w:val="002F5D52"/>
    <w:rsid w:val="00302B3A"/>
    <w:rsid w:val="003037F6"/>
    <w:rsid w:val="003557CC"/>
    <w:rsid w:val="0036085C"/>
    <w:rsid w:val="0036296F"/>
    <w:rsid w:val="00370728"/>
    <w:rsid w:val="003816E0"/>
    <w:rsid w:val="00381F55"/>
    <w:rsid w:val="003841A8"/>
    <w:rsid w:val="0038715D"/>
    <w:rsid w:val="003A1EB6"/>
    <w:rsid w:val="003A68A9"/>
    <w:rsid w:val="003A77C3"/>
    <w:rsid w:val="003B01C5"/>
    <w:rsid w:val="003B1787"/>
    <w:rsid w:val="003B1FB5"/>
    <w:rsid w:val="003C0516"/>
    <w:rsid w:val="003C60AD"/>
    <w:rsid w:val="003D5BFE"/>
    <w:rsid w:val="003E261B"/>
    <w:rsid w:val="003E6D88"/>
    <w:rsid w:val="003E7844"/>
    <w:rsid w:val="003F7220"/>
    <w:rsid w:val="0040377D"/>
    <w:rsid w:val="004074A4"/>
    <w:rsid w:val="00410FB9"/>
    <w:rsid w:val="0042516D"/>
    <w:rsid w:val="00427938"/>
    <w:rsid w:val="0043290D"/>
    <w:rsid w:val="0043728B"/>
    <w:rsid w:val="00446BCB"/>
    <w:rsid w:val="00450B29"/>
    <w:rsid w:val="004547D9"/>
    <w:rsid w:val="0047674A"/>
    <w:rsid w:val="00484271"/>
    <w:rsid w:val="00485994"/>
    <w:rsid w:val="004867D0"/>
    <w:rsid w:val="00491E18"/>
    <w:rsid w:val="00493221"/>
    <w:rsid w:val="004B2F41"/>
    <w:rsid w:val="004B2F6E"/>
    <w:rsid w:val="004B3425"/>
    <w:rsid w:val="004C3266"/>
    <w:rsid w:val="004D024B"/>
    <w:rsid w:val="004E2C2E"/>
    <w:rsid w:val="004E5D8C"/>
    <w:rsid w:val="004F1A09"/>
    <w:rsid w:val="004F6135"/>
    <w:rsid w:val="00506965"/>
    <w:rsid w:val="00523726"/>
    <w:rsid w:val="00536566"/>
    <w:rsid w:val="00543401"/>
    <w:rsid w:val="005454A4"/>
    <w:rsid w:val="00552ACD"/>
    <w:rsid w:val="00554571"/>
    <w:rsid w:val="00571DD7"/>
    <w:rsid w:val="005773A3"/>
    <w:rsid w:val="00581EF8"/>
    <w:rsid w:val="00584F41"/>
    <w:rsid w:val="005A4B11"/>
    <w:rsid w:val="005A5C51"/>
    <w:rsid w:val="005C6561"/>
    <w:rsid w:val="005F6E4C"/>
    <w:rsid w:val="00602DD4"/>
    <w:rsid w:val="00614EDC"/>
    <w:rsid w:val="006229E8"/>
    <w:rsid w:val="00652472"/>
    <w:rsid w:val="00656CA0"/>
    <w:rsid w:val="00671CFE"/>
    <w:rsid w:val="00675C90"/>
    <w:rsid w:val="006779EB"/>
    <w:rsid w:val="0069107A"/>
    <w:rsid w:val="006A0C59"/>
    <w:rsid w:val="006A49C8"/>
    <w:rsid w:val="006B2034"/>
    <w:rsid w:val="006B3C2A"/>
    <w:rsid w:val="006C0108"/>
    <w:rsid w:val="006C08AF"/>
    <w:rsid w:val="006C7C19"/>
    <w:rsid w:val="006D3697"/>
    <w:rsid w:val="007143DC"/>
    <w:rsid w:val="007333E6"/>
    <w:rsid w:val="00733887"/>
    <w:rsid w:val="00733EFC"/>
    <w:rsid w:val="00736F93"/>
    <w:rsid w:val="0074764B"/>
    <w:rsid w:val="007512E2"/>
    <w:rsid w:val="007741A7"/>
    <w:rsid w:val="00776082"/>
    <w:rsid w:val="007765F4"/>
    <w:rsid w:val="00783D04"/>
    <w:rsid w:val="00791EED"/>
    <w:rsid w:val="007C5E4C"/>
    <w:rsid w:val="007C6319"/>
    <w:rsid w:val="007D4F55"/>
    <w:rsid w:val="007F7096"/>
    <w:rsid w:val="007F7D78"/>
    <w:rsid w:val="00801745"/>
    <w:rsid w:val="008033FF"/>
    <w:rsid w:val="00803EB6"/>
    <w:rsid w:val="00806BFC"/>
    <w:rsid w:val="008154A6"/>
    <w:rsid w:val="00823F69"/>
    <w:rsid w:val="0083334D"/>
    <w:rsid w:val="00834B57"/>
    <w:rsid w:val="008413A4"/>
    <w:rsid w:val="00847F1E"/>
    <w:rsid w:val="00857CF0"/>
    <w:rsid w:val="008828A1"/>
    <w:rsid w:val="00886FF5"/>
    <w:rsid w:val="00887BE0"/>
    <w:rsid w:val="00892BBA"/>
    <w:rsid w:val="008A2815"/>
    <w:rsid w:val="008A55AA"/>
    <w:rsid w:val="008A70EC"/>
    <w:rsid w:val="008B4BAC"/>
    <w:rsid w:val="008C0BC8"/>
    <w:rsid w:val="008C1D0B"/>
    <w:rsid w:val="008C423A"/>
    <w:rsid w:val="008C606E"/>
    <w:rsid w:val="008D21CF"/>
    <w:rsid w:val="008D3631"/>
    <w:rsid w:val="008E594A"/>
    <w:rsid w:val="008E594E"/>
    <w:rsid w:val="008F30B7"/>
    <w:rsid w:val="0090134C"/>
    <w:rsid w:val="0090784F"/>
    <w:rsid w:val="00910346"/>
    <w:rsid w:val="00910E37"/>
    <w:rsid w:val="0091378A"/>
    <w:rsid w:val="00922682"/>
    <w:rsid w:val="009323C5"/>
    <w:rsid w:val="0093307D"/>
    <w:rsid w:val="009342BE"/>
    <w:rsid w:val="00937067"/>
    <w:rsid w:val="0094789C"/>
    <w:rsid w:val="0094791F"/>
    <w:rsid w:val="00950EF4"/>
    <w:rsid w:val="00960487"/>
    <w:rsid w:val="00964DB9"/>
    <w:rsid w:val="009925F3"/>
    <w:rsid w:val="00992E6D"/>
    <w:rsid w:val="00996CB4"/>
    <w:rsid w:val="009A6CA5"/>
    <w:rsid w:val="009B360B"/>
    <w:rsid w:val="009C031C"/>
    <w:rsid w:val="009C217F"/>
    <w:rsid w:val="009D1BFF"/>
    <w:rsid w:val="009E4301"/>
    <w:rsid w:val="009F4F73"/>
    <w:rsid w:val="009F56D4"/>
    <w:rsid w:val="00A037BA"/>
    <w:rsid w:val="00A21462"/>
    <w:rsid w:val="00A22834"/>
    <w:rsid w:val="00A25B80"/>
    <w:rsid w:val="00A336DE"/>
    <w:rsid w:val="00A4588F"/>
    <w:rsid w:val="00A57A2B"/>
    <w:rsid w:val="00A62BBE"/>
    <w:rsid w:val="00A72DFD"/>
    <w:rsid w:val="00A842AD"/>
    <w:rsid w:val="00AA22BB"/>
    <w:rsid w:val="00AA4AF4"/>
    <w:rsid w:val="00AB6929"/>
    <w:rsid w:val="00AC36A2"/>
    <w:rsid w:val="00B02B5E"/>
    <w:rsid w:val="00B14C29"/>
    <w:rsid w:val="00B22109"/>
    <w:rsid w:val="00B240F7"/>
    <w:rsid w:val="00B333AA"/>
    <w:rsid w:val="00B335E1"/>
    <w:rsid w:val="00B45488"/>
    <w:rsid w:val="00B537C4"/>
    <w:rsid w:val="00B53DEB"/>
    <w:rsid w:val="00B73F7D"/>
    <w:rsid w:val="00B74115"/>
    <w:rsid w:val="00B76145"/>
    <w:rsid w:val="00B94838"/>
    <w:rsid w:val="00B95E60"/>
    <w:rsid w:val="00B95E8A"/>
    <w:rsid w:val="00BA2A33"/>
    <w:rsid w:val="00BB5E46"/>
    <w:rsid w:val="00BB67EA"/>
    <w:rsid w:val="00BD3D10"/>
    <w:rsid w:val="00BE5B9B"/>
    <w:rsid w:val="00BF23CC"/>
    <w:rsid w:val="00C05947"/>
    <w:rsid w:val="00C43AAE"/>
    <w:rsid w:val="00C44FD4"/>
    <w:rsid w:val="00C55FF5"/>
    <w:rsid w:val="00C56AF8"/>
    <w:rsid w:val="00C577BE"/>
    <w:rsid w:val="00C644B7"/>
    <w:rsid w:val="00C64810"/>
    <w:rsid w:val="00C64876"/>
    <w:rsid w:val="00C67765"/>
    <w:rsid w:val="00C84E50"/>
    <w:rsid w:val="00C93E21"/>
    <w:rsid w:val="00CA2315"/>
    <w:rsid w:val="00CB7643"/>
    <w:rsid w:val="00CB7C83"/>
    <w:rsid w:val="00CC3786"/>
    <w:rsid w:val="00CD20A6"/>
    <w:rsid w:val="00CE30A5"/>
    <w:rsid w:val="00CE4E10"/>
    <w:rsid w:val="00CF6E35"/>
    <w:rsid w:val="00D00FD6"/>
    <w:rsid w:val="00D16267"/>
    <w:rsid w:val="00D438FE"/>
    <w:rsid w:val="00D4781C"/>
    <w:rsid w:val="00D73942"/>
    <w:rsid w:val="00D768ED"/>
    <w:rsid w:val="00D8629F"/>
    <w:rsid w:val="00D916FC"/>
    <w:rsid w:val="00DC0691"/>
    <w:rsid w:val="00DC202B"/>
    <w:rsid w:val="00DC7471"/>
    <w:rsid w:val="00DF49D8"/>
    <w:rsid w:val="00E024CA"/>
    <w:rsid w:val="00E0422F"/>
    <w:rsid w:val="00E3106A"/>
    <w:rsid w:val="00E31310"/>
    <w:rsid w:val="00E404C6"/>
    <w:rsid w:val="00E4051E"/>
    <w:rsid w:val="00E4230C"/>
    <w:rsid w:val="00E66C3C"/>
    <w:rsid w:val="00E81877"/>
    <w:rsid w:val="00E85F06"/>
    <w:rsid w:val="00E86727"/>
    <w:rsid w:val="00E95281"/>
    <w:rsid w:val="00E957CB"/>
    <w:rsid w:val="00EA2617"/>
    <w:rsid w:val="00EC0F51"/>
    <w:rsid w:val="00ED0115"/>
    <w:rsid w:val="00EE65A9"/>
    <w:rsid w:val="00EE7530"/>
    <w:rsid w:val="00EF40FE"/>
    <w:rsid w:val="00EF7460"/>
    <w:rsid w:val="00F232E7"/>
    <w:rsid w:val="00F339B7"/>
    <w:rsid w:val="00F34E7B"/>
    <w:rsid w:val="00F50AC9"/>
    <w:rsid w:val="00F737CE"/>
    <w:rsid w:val="00F83C98"/>
    <w:rsid w:val="00F953BE"/>
    <w:rsid w:val="00F96302"/>
    <w:rsid w:val="00FB035F"/>
    <w:rsid w:val="00FB2101"/>
    <w:rsid w:val="00FC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A017E6"/>
  <w15:chartTrackingRefBased/>
  <w15:docId w15:val="{7FA7F7E7-03B8-234B-81CF-8D489D46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64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6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6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6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6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6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6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6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64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B76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B7643"/>
  </w:style>
  <w:style w:type="character" w:customStyle="1" w:styleId="eop">
    <w:name w:val="eop"/>
    <w:basedOn w:val="DefaultParagraphFont"/>
    <w:rsid w:val="00CB7643"/>
  </w:style>
  <w:style w:type="paragraph" w:styleId="Revision">
    <w:name w:val="Revision"/>
    <w:hidden/>
    <w:uiPriority w:val="99"/>
    <w:semiHidden/>
    <w:rsid w:val="00094455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94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4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45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4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Uffe Soeholm</dc:creator>
  <cp:keywords/>
  <dc:description/>
  <cp:lastModifiedBy>Uffe Soeholm</cp:lastModifiedBy>
  <cp:revision>2</cp:revision>
  <dcterms:created xsi:type="dcterms:W3CDTF">2025-05-15T21:32:00Z</dcterms:created>
  <dcterms:modified xsi:type="dcterms:W3CDTF">2025-05-15T21:32:00Z</dcterms:modified>
</cp:coreProperties>
</file>