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4"/>
      </w:tblGrid>
      <w:tr w:rsidR="001564A4" w:rsidRPr="00292E38" w14:paraId="5C38377B" w14:textId="77777777" w:rsidTr="00422B3B">
        <w:trPr>
          <w:jc w:val="center"/>
        </w:trPr>
        <w:tc>
          <w:tcPr>
            <w:tcW w:w="9634" w:type="dxa"/>
            <w:shd w:val="clear" w:color="auto" w:fill="auto"/>
          </w:tcPr>
          <w:p w14:paraId="5C44F357" w14:textId="3807E0C4" w:rsidR="001564A4" w:rsidRPr="00292E38" w:rsidRDefault="00DB778C" w:rsidP="00292E38">
            <w:pPr>
              <w:rPr>
                <w:rFonts w:ascii="Arial" w:hAnsi="Arial" w:cs="Arial"/>
                <w:b/>
                <w:sz w:val="22"/>
                <w:szCs w:val="22"/>
                <w:lang w:val="en-US" w:eastAsia="zh-CN"/>
              </w:rPr>
            </w:pPr>
            <w:r w:rsidRPr="00292E38">
              <w:rPr>
                <w:rFonts w:ascii="Arial" w:hAnsi="Arial" w:cs="Arial"/>
                <w:b/>
                <w:sz w:val="22"/>
                <w:szCs w:val="22"/>
                <w:lang w:val="en-US" w:eastAsia="en-GB"/>
              </w:rPr>
              <w:t>Dupilumab for COPD with Type 2 Inflammation (Elevated Eosinophils)</w:t>
            </w:r>
          </w:p>
        </w:tc>
      </w:tr>
      <w:tr w:rsidR="001564A4" w:rsidRPr="00292E38" w14:paraId="0E2E035C" w14:textId="77777777" w:rsidTr="00422B3B">
        <w:trPr>
          <w:trHeight w:val="1000"/>
          <w:jc w:val="center"/>
        </w:trPr>
        <w:tc>
          <w:tcPr>
            <w:tcW w:w="9634" w:type="dxa"/>
            <w:shd w:val="clear" w:color="auto" w:fill="auto"/>
          </w:tcPr>
          <w:p w14:paraId="73B55295" w14:textId="343ACF45" w:rsidR="001564A4" w:rsidRPr="00292E38" w:rsidRDefault="008866BD" w:rsidP="008866BD">
            <w:pPr>
              <w:rPr>
                <w:rFonts w:ascii="Arial" w:hAnsi="Arial" w:cs="Arial"/>
                <w:sz w:val="22"/>
                <w:szCs w:val="22"/>
                <w:u w:val="single"/>
                <w:lang w:eastAsia="zh-CN"/>
              </w:rPr>
            </w:pPr>
            <w:r w:rsidRPr="00292E38">
              <w:rPr>
                <w:rFonts w:ascii="Arial" w:hAnsi="Arial" w:cs="Arial"/>
                <w:sz w:val="22"/>
                <w:szCs w:val="22"/>
                <w:lang w:val="en-US" w:eastAsia="en-GB"/>
              </w:rPr>
              <w:t>Jana Moody</w:t>
            </w:r>
            <w:r>
              <w:rPr>
                <w:rFonts w:ascii="Arial" w:hAnsi="Arial" w:cs="Arial"/>
                <w:sz w:val="22"/>
                <w:szCs w:val="22"/>
                <w:vertAlign w:val="superscript"/>
                <w:lang w:val="en-US" w:eastAsia="en-GB"/>
              </w:rPr>
              <w:t>1</w:t>
            </w:r>
            <w:r w:rsidRPr="00292E38">
              <w:rPr>
                <w:rFonts w:ascii="Arial" w:hAnsi="Arial" w:cs="Arial"/>
                <w:sz w:val="22"/>
                <w:szCs w:val="22"/>
                <w:lang w:val="en-US" w:eastAsia="en-GB"/>
              </w:rPr>
              <w:t>*,</w:t>
            </w:r>
            <w:r>
              <w:rPr>
                <w:rFonts w:ascii="Arial" w:hAnsi="Arial" w:cs="Arial"/>
                <w:sz w:val="22"/>
                <w:szCs w:val="22"/>
                <w:lang w:val="en-US" w:eastAsia="en-GB"/>
              </w:rPr>
              <w:t xml:space="preserve"> </w:t>
            </w:r>
            <w:r w:rsidR="009D35EA" w:rsidRPr="00292E38">
              <w:rPr>
                <w:rFonts w:ascii="Arial" w:hAnsi="Arial" w:cs="Arial"/>
                <w:sz w:val="22"/>
                <w:szCs w:val="22"/>
                <w:lang w:val="en-US" w:eastAsia="en-GB"/>
              </w:rPr>
              <w:t>Philip Bardin</w:t>
            </w:r>
            <w:r>
              <w:rPr>
                <w:rFonts w:ascii="Arial" w:hAnsi="Arial" w:cs="Arial"/>
                <w:sz w:val="22"/>
                <w:szCs w:val="22"/>
                <w:vertAlign w:val="superscript"/>
                <w:lang w:val="en-US" w:eastAsia="en-GB"/>
              </w:rPr>
              <w:t>2</w:t>
            </w:r>
            <w:r w:rsidR="009D35EA" w:rsidRPr="00292E38">
              <w:rPr>
                <w:rFonts w:ascii="Arial" w:hAnsi="Arial" w:cs="Arial"/>
                <w:sz w:val="22"/>
                <w:szCs w:val="22"/>
                <w:lang w:val="en-US" w:eastAsia="en-GB"/>
              </w:rPr>
              <w:t>*, Surya P. Bhatt</w:t>
            </w:r>
            <w:r>
              <w:rPr>
                <w:rFonts w:ascii="Arial" w:hAnsi="Arial" w:cs="Arial"/>
                <w:sz w:val="22"/>
                <w:szCs w:val="22"/>
                <w:vertAlign w:val="superscript"/>
                <w:lang w:val="en-US" w:eastAsia="en-GB"/>
              </w:rPr>
              <w:t>3</w:t>
            </w:r>
            <w:r w:rsidR="009D35EA" w:rsidRPr="00292E38">
              <w:rPr>
                <w:rFonts w:ascii="Arial" w:hAnsi="Arial" w:cs="Arial"/>
                <w:sz w:val="22"/>
                <w:szCs w:val="22"/>
                <w:lang w:val="en-US" w:eastAsia="en-GB"/>
              </w:rPr>
              <w:t>, Klaus F. Rabe</w:t>
            </w:r>
            <w:r>
              <w:rPr>
                <w:rFonts w:ascii="Arial" w:hAnsi="Arial" w:cs="Arial"/>
                <w:sz w:val="22"/>
                <w:szCs w:val="22"/>
                <w:vertAlign w:val="superscript"/>
                <w:lang w:val="en-US" w:eastAsia="en-GB"/>
              </w:rPr>
              <w:t>4</w:t>
            </w:r>
            <w:r w:rsidR="009D35EA" w:rsidRPr="00292E38">
              <w:rPr>
                <w:rFonts w:ascii="Arial" w:hAnsi="Arial" w:cs="Arial"/>
                <w:sz w:val="22"/>
                <w:szCs w:val="22"/>
                <w:lang w:val="en-US" w:eastAsia="en-GB"/>
              </w:rPr>
              <w:t>, Nicola A. Hanania</w:t>
            </w:r>
            <w:r>
              <w:rPr>
                <w:rFonts w:ascii="Arial" w:hAnsi="Arial" w:cs="Arial"/>
                <w:sz w:val="22"/>
                <w:szCs w:val="22"/>
                <w:vertAlign w:val="superscript"/>
                <w:lang w:val="en-US" w:eastAsia="en-GB"/>
              </w:rPr>
              <w:t>5</w:t>
            </w:r>
            <w:r w:rsidR="009D35EA" w:rsidRPr="00292E38">
              <w:rPr>
                <w:rFonts w:ascii="Arial" w:hAnsi="Arial" w:cs="Arial"/>
                <w:sz w:val="22"/>
                <w:szCs w:val="22"/>
                <w:lang w:val="en-US" w:eastAsia="en-GB"/>
              </w:rPr>
              <w:t>, Claus Vogelmeier</w:t>
            </w:r>
            <w:r>
              <w:rPr>
                <w:rFonts w:ascii="Arial" w:hAnsi="Arial" w:cs="Arial"/>
                <w:sz w:val="22"/>
                <w:szCs w:val="22"/>
                <w:vertAlign w:val="superscript"/>
                <w:lang w:val="en-US" w:eastAsia="en-GB"/>
              </w:rPr>
              <w:t>6</w:t>
            </w:r>
            <w:r w:rsidR="009D35EA" w:rsidRPr="00292E38">
              <w:rPr>
                <w:rFonts w:ascii="Arial" w:hAnsi="Arial" w:cs="Arial"/>
                <w:sz w:val="22"/>
                <w:szCs w:val="22"/>
                <w:lang w:val="en-US" w:eastAsia="en-GB"/>
              </w:rPr>
              <w:t>, Jeremy Cole</w:t>
            </w:r>
            <w:r>
              <w:rPr>
                <w:rFonts w:ascii="Arial" w:hAnsi="Arial" w:cs="Arial"/>
                <w:sz w:val="22"/>
                <w:szCs w:val="22"/>
                <w:vertAlign w:val="superscript"/>
                <w:lang w:val="en-US" w:eastAsia="en-GB"/>
              </w:rPr>
              <w:t>7</w:t>
            </w:r>
            <w:r w:rsidR="009D35EA" w:rsidRPr="00292E38">
              <w:rPr>
                <w:rFonts w:ascii="Arial" w:hAnsi="Arial" w:cs="Arial"/>
                <w:sz w:val="22"/>
                <w:szCs w:val="22"/>
                <w:lang w:val="en-US" w:eastAsia="en-GB"/>
              </w:rPr>
              <w:t>, Mona Bafadhel</w:t>
            </w:r>
            <w:r>
              <w:rPr>
                <w:rFonts w:ascii="Arial" w:hAnsi="Arial" w:cs="Arial"/>
                <w:sz w:val="22"/>
                <w:szCs w:val="22"/>
                <w:vertAlign w:val="superscript"/>
                <w:lang w:val="en-US" w:eastAsia="en-GB"/>
              </w:rPr>
              <w:t>8</w:t>
            </w:r>
            <w:r w:rsidR="009D35EA" w:rsidRPr="00292E38">
              <w:rPr>
                <w:rFonts w:ascii="Arial" w:hAnsi="Arial" w:cs="Arial"/>
                <w:sz w:val="22"/>
                <w:szCs w:val="22"/>
                <w:lang w:val="en-US" w:eastAsia="en-GB"/>
              </w:rPr>
              <w:t>, Stephanie A. Christenson</w:t>
            </w:r>
            <w:r>
              <w:rPr>
                <w:rFonts w:ascii="Arial" w:hAnsi="Arial" w:cs="Arial"/>
                <w:sz w:val="22"/>
                <w:szCs w:val="22"/>
                <w:vertAlign w:val="superscript"/>
                <w:lang w:val="en-US" w:eastAsia="en-GB"/>
              </w:rPr>
              <w:t>9</w:t>
            </w:r>
            <w:r w:rsidR="009D35EA" w:rsidRPr="00292E38">
              <w:rPr>
                <w:rFonts w:ascii="Arial" w:hAnsi="Arial" w:cs="Arial"/>
                <w:sz w:val="22"/>
                <w:szCs w:val="22"/>
                <w:lang w:val="en-US" w:eastAsia="en-GB"/>
              </w:rPr>
              <w:t>, Alberto Papi</w:t>
            </w:r>
            <w:r>
              <w:rPr>
                <w:rFonts w:ascii="Arial" w:hAnsi="Arial" w:cs="Arial"/>
                <w:sz w:val="22"/>
                <w:szCs w:val="22"/>
                <w:vertAlign w:val="superscript"/>
                <w:lang w:val="en-US" w:eastAsia="en-GB"/>
              </w:rPr>
              <w:t>10</w:t>
            </w:r>
            <w:r w:rsidR="009D35EA" w:rsidRPr="00292E38">
              <w:rPr>
                <w:rFonts w:ascii="Arial" w:hAnsi="Arial" w:cs="Arial"/>
                <w:sz w:val="22"/>
                <w:szCs w:val="22"/>
                <w:lang w:val="en-US" w:eastAsia="en-GB"/>
              </w:rPr>
              <w:t>, Dave Singh</w:t>
            </w:r>
            <w:r w:rsidR="009D35EA" w:rsidRPr="00292E38">
              <w:rPr>
                <w:rFonts w:ascii="Arial" w:hAnsi="Arial" w:cs="Arial"/>
                <w:sz w:val="22"/>
                <w:szCs w:val="22"/>
                <w:vertAlign w:val="superscript"/>
                <w:lang w:val="en-US" w:eastAsia="en-GB"/>
              </w:rPr>
              <w:t>1</w:t>
            </w:r>
            <w:r>
              <w:rPr>
                <w:rFonts w:ascii="Arial" w:hAnsi="Arial" w:cs="Arial"/>
                <w:sz w:val="22"/>
                <w:szCs w:val="22"/>
                <w:vertAlign w:val="superscript"/>
                <w:lang w:val="en-US" w:eastAsia="en-GB"/>
              </w:rPr>
              <w:t>1</w:t>
            </w:r>
            <w:r w:rsidR="009D35EA" w:rsidRPr="00292E38">
              <w:rPr>
                <w:rFonts w:ascii="Arial" w:hAnsi="Arial" w:cs="Arial"/>
                <w:sz w:val="22"/>
                <w:szCs w:val="22"/>
                <w:lang w:val="en-US" w:eastAsia="en-GB"/>
              </w:rPr>
              <w:t>, Elizabeth Laws</w:t>
            </w:r>
            <w:r w:rsidR="009D35EA" w:rsidRPr="00292E38">
              <w:rPr>
                <w:rFonts w:ascii="Arial" w:hAnsi="Arial" w:cs="Arial"/>
                <w:sz w:val="22"/>
                <w:szCs w:val="22"/>
                <w:vertAlign w:val="superscript"/>
                <w:lang w:val="en-US" w:eastAsia="en-GB"/>
              </w:rPr>
              <w:t>1</w:t>
            </w:r>
            <w:r>
              <w:rPr>
                <w:rFonts w:ascii="Arial" w:hAnsi="Arial" w:cs="Arial"/>
                <w:sz w:val="22"/>
                <w:szCs w:val="22"/>
                <w:vertAlign w:val="superscript"/>
                <w:lang w:val="en-US" w:eastAsia="en-GB"/>
              </w:rPr>
              <w:t>2</w:t>
            </w:r>
            <w:r w:rsidR="009D35EA" w:rsidRPr="00292E38">
              <w:rPr>
                <w:rFonts w:ascii="Arial" w:hAnsi="Arial" w:cs="Arial"/>
                <w:sz w:val="22"/>
                <w:szCs w:val="22"/>
                <w:lang w:val="en-US" w:eastAsia="en-GB"/>
              </w:rPr>
              <w:t>, Xin Lu</w:t>
            </w:r>
            <w:r w:rsidR="009D35EA" w:rsidRPr="00292E38">
              <w:rPr>
                <w:rFonts w:ascii="Arial" w:hAnsi="Arial" w:cs="Arial"/>
                <w:sz w:val="22"/>
                <w:szCs w:val="22"/>
                <w:vertAlign w:val="superscript"/>
                <w:lang w:val="en-US" w:eastAsia="en-GB"/>
              </w:rPr>
              <w:t>1</w:t>
            </w:r>
            <w:r>
              <w:rPr>
                <w:rFonts w:ascii="Arial" w:hAnsi="Arial" w:cs="Arial"/>
                <w:sz w:val="22"/>
                <w:szCs w:val="22"/>
                <w:vertAlign w:val="superscript"/>
                <w:lang w:val="en-US" w:eastAsia="en-GB"/>
              </w:rPr>
              <w:t>2</w:t>
            </w:r>
            <w:r w:rsidR="009D35EA" w:rsidRPr="00292E38">
              <w:rPr>
                <w:rFonts w:ascii="Arial" w:hAnsi="Arial" w:cs="Arial"/>
                <w:sz w:val="22"/>
                <w:szCs w:val="22"/>
                <w:lang w:val="en-US" w:eastAsia="en-GB"/>
              </w:rPr>
              <w:t>, Deborah Bauer</w:t>
            </w:r>
            <w:r w:rsidR="009D35EA" w:rsidRPr="00292E38">
              <w:rPr>
                <w:rFonts w:ascii="Arial" w:hAnsi="Arial" w:cs="Arial"/>
                <w:sz w:val="22"/>
                <w:szCs w:val="22"/>
                <w:vertAlign w:val="superscript"/>
                <w:lang w:val="en-US" w:eastAsia="en-GB"/>
              </w:rPr>
              <w:t>1</w:t>
            </w:r>
            <w:r>
              <w:rPr>
                <w:rFonts w:ascii="Arial" w:hAnsi="Arial" w:cs="Arial"/>
                <w:sz w:val="22"/>
                <w:szCs w:val="22"/>
                <w:vertAlign w:val="superscript"/>
                <w:lang w:val="en-US" w:eastAsia="en-GB"/>
              </w:rPr>
              <w:t>2</w:t>
            </w:r>
            <w:r w:rsidR="009D35EA" w:rsidRPr="00292E38">
              <w:rPr>
                <w:rFonts w:ascii="Arial" w:hAnsi="Arial" w:cs="Arial"/>
                <w:sz w:val="22"/>
                <w:szCs w:val="22"/>
                <w:lang w:val="en-US" w:eastAsia="en-GB"/>
              </w:rPr>
              <w:t>, Eric Mortensen</w:t>
            </w:r>
            <w:r w:rsidR="009D35EA" w:rsidRPr="00292E38">
              <w:rPr>
                <w:rFonts w:ascii="Arial" w:hAnsi="Arial" w:cs="Arial"/>
                <w:sz w:val="22"/>
                <w:szCs w:val="22"/>
                <w:vertAlign w:val="superscript"/>
                <w:lang w:val="en-US" w:eastAsia="en-GB"/>
              </w:rPr>
              <w:t>1</w:t>
            </w:r>
            <w:r>
              <w:rPr>
                <w:rFonts w:ascii="Arial" w:hAnsi="Arial" w:cs="Arial"/>
                <w:sz w:val="22"/>
                <w:szCs w:val="22"/>
                <w:vertAlign w:val="superscript"/>
                <w:lang w:val="en-US" w:eastAsia="en-GB"/>
              </w:rPr>
              <w:t>3</w:t>
            </w:r>
            <w:r w:rsidR="009D35EA" w:rsidRPr="00292E38">
              <w:rPr>
                <w:rFonts w:ascii="Arial" w:hAnsi="Arial" w:cs="Arial"/>
                <w:sz w:val="22"/>
                <w:szCs w:val="22"/>
                <w:lang w:val="en-US" w:eastAsia="en-GB"/>
              </w:rPr>
              <w:t>, Jennifer Maloney</w:t>
            </w:r>
            <w:r w:rsidR="009D35EA" w:rsidRPr="00292E38">
              <w:rPr>
                <w:rFonts w:ascii="Arial" w:hAnsi="Arial" w:cs="Arial"/>
                <w:sz w:val="22"/>
                <w:szCs w:val="22"/>
                <w:vertAlign w:val="superscript"/>
                <w:lang w:val="en-US" w:eastAsia="en-GB"/>
              </w:rPr>
              <w:t>1</w:t>
            </w:r>
            <w:r>
              <w:rPr>
                <w:rFonts w:ascii="Arial" w:hAnsi="Arial" w:cs="Arial"/>
                <w:sz w:val="22"/>
                <w:szCs w:val="22"/>
                <w:vertAlign w:val="superscript"/>
                <w:lang w:val="en-US" w:eastAsia="en-GB"/>
              </w:rPr>
              <w:t>3</w:t>
            </w:r>
            <w:r w:rsidR="009D35EA" w:rsidRPr="00292E38">
              <w:rPr>
                <w:rFonts w:ascii="Arial" w:hAnsi="Arial" w:cs="Arial"/>
                <w:sz w:val="22"/>
                <w:szCs w:val="22"/>
                <w:lang w:val="en-US" w:eastAsia="en-GB"/>
              </w:rPr>
              <w:t>, Ashish Bansal</w:t>
            </w:r>
            <w:r w:rsidR="009D35EA" w:rsidRPr="00292E38">
              <w:rPr>
                <w:rFonts w:ascii="Arial" w:hAnsi="Arial" w:cs="Arial"/>
                <w:sz w:val="22"/>
                <w:szCs w:val="22"/>
                <w:vertAlign w:val="superscript"/>
                <w:lang w:val="en-US" w:eastAsia="en-GB"/>
              </w:rPr>
              <w:t>1</w:t>
            </w:r>
            <w:r>
              <w:rPr>
                <w:rFonts w:ascii="Arial" w:hAnsi="Arial" w:cs="Arial"/>
                <w:sz w:val="22"/>
                <w:szCs w:val="22"/>
                <w:vertAlign w:val="superscript"/>
                <w:lang w:val="en-US" w:eastAsia="en-GB"/>
              </w:rPr>
              <w:t>3</w:t>
            </w:r>
            <w:r w:rsidR="009D35EA" w:rsidRPr="00292E38">
              <w:rPr>
                <w:rFonts w:ascii="Arial" w:hAnsi="Arial" w:cs="Arial"/>
                <w:sz w:val="22"/>
                <w:szCs w:val="22"/>
                <w:lang w:val="en-US" w:eastAsia="en-GB"/>
              </w:rPr>
              <w:t>, Lacey B. Robinson</w:t>
            </w:r>
            <w:r w:rsidR="009D35EA" w:rsidRPr="00292E38">
              <w:rPr>
                <w:rFonts w:ascii="Arial" w:hAnsi="Arial" w:cs="Arial"/>
                <w:sz w:val="22"/>
                <w:szCs w:val="22"/>
                <w:vertAlign w:val="superscript"/>
                <w:lang w:val="en-US" w:eastAsia="en-GB"/>
              </w:rPr>
              <w:t>1</w:t>
            </w:r>
            <w:r>
              <w:rPr>
                <w:rFonts w:ascii="Arial" w:hAnsi="Arial" w:cs="Arial"/>
                <w:sz w:val="22"/>
                <w:szCs w:val="22"/>
                <w:vertAlign w:val="superscript"/>
                <w:lang w:val="en-US" w:eastAsia="en-GB"/>
              </w:rPr>
              <w:t>4</w:t>
            </w:r>
            <w:r w:rsidR="009D35EA" w:rsidRPr="00292E38">
              <w:rPr>
                <w:rFonts w:ascii="Arial" w:hAnsi="Arial" w:cs="Arial"/>
                <w:sz w:val="22"/>
                <w:szCs w:val="22"/>
                <w:lang w:val="en-US" w:eastAsia="en-GB"/>
              </w:rPr>
              <w:t>, Raolat M. Abdulai</w:t>
            </w:r>
            <w:r w:rsidR="009D35EA" w:rsidRPr="00292E38">
              <w:rPr>
                <w:rFonts w:ascii="Arial" w:hAnsi="Arial" w:cs="Arial"/>
                <w:sz w:val="22"/>
                <w:szCs w:val="22"/>
                <w:vertAlign w:val="superscript"/>
                <w:lang w:val="en-US" w:eastAsia="en-GB"/>
              </w:rPr>
              <w:t>1</w:t>
            </w:r>
            <w:r>
              <w:rPr>
                <w:rFonts w:ascii="Arial" w:hAnsi="Arial" w:cs="Arial"/>
                <w:sz w:val="22"/>
                <w:szCs w:val="22"/>
                <w:vertAlign w:val="superscript"/>
                <w:lang w:val="en-US" w:eastAsia="en-GB"/>
              </w:rPr>
              <w:t>4</w:t>
            </w:r>
          </w:p>
        </w:tc>
      </w:tr>
      <w:tr w:rsidR="001564A4" w:rsidRPr="00292E38" w14:paraId="385A19D9" w14:textId="77777777" w:rsidTr="00422B3B">
        <w:trPr>
          <w:trHeight w:val="136"/>
          <w:jc w:val="center"/>
        </w:trPr>
        <w:tc>
          <w:tcPr>
            <w:tcW w:w="9634" w:type="dxa"/>
            <w:shd w:val="clear" w:color="auto" w:fill="auto"/>
          </w:tcPr>
          <w:p w14:paraId="57C9CC93" w14:textId="53ABE8FB" w:rsidR="008866BD" w:rsidRDefault="008866BD" w:rsidP="00292E38">
            <w:pPr>
              <w:pStyle w:val="Default"/>
              <w:contextualSpacing/>
              <w:rPr>
                <w:i/>
                <w:iCs/>
                <w:color w:val="auto"/>
                <w:sz w:val="22"/>
                <w:szCs w:val="22"/>
                <w:vertAlign w:val="superscript"/>
              </w:rPr>
            </w:pPr>
            <w:r>
              <w:rPr>
                <w:i/>
                <w:iCs/>
                <w:sz w:val="22"/>
                <w:szCs w:val="22"/>
                <w:vertAlign w:val="superscript"/>
              </w:rPr>
              <w:t>1</w:t>
            </w:r>
            <w:r w:rsidRPr="00292E38">
              <w:rPr>
                <w:i/>
                <w:iCs/>
                <w:sz w:val="22"/>
                <w:szCs w:val="22"/>
              </w:rPr>
              <w:t>Sanofi, New South Wales, Australia</w:t>
            </w:r>
          </w:p>
          <w:p w14:paraId="45ED36BF" w14:textId="6121E1A8" w:rsidR="001564A4" w:rsidRPr="00292E38" w:rsidRDefault="008866BD" w:rsidP="00292E38">
            <w:pPr>
              <w:pStyle w:val="Default"/>
              <w:contextualSpacing/>
              <w:rPr>
                <w:i/>
                <w:iCs/>
                <w:sz w:val="22"/>
                <w:szCs w:val="22"/>
              </w:rPr>
            </w:pPr>
            <w:r>
              <w:rPr>
                <w:i/>
                <w:iCs/>
                <w:color w:val="auto"/>
                <w:sz w:val="22"/>
                <w:szCs w:val="22"/>
                <w:vertAlign w:val="superscript"/>
              </w:rPr>
              <w:t>2</w:t>
            </w:r>
            <w:r w:rsidR="009D35EA" w:rsidRPr="00292E38">
              <w:rPr>
                <w:i/>
                <w:iCs/>
                <w:color w:val="auto"/>
                <w:sz w:val="22"/>
                <w:szCs w:val="22"/>
              </w:rPr>
              <w:t>Monash Lung Sleep Allergy &amp; Immunology, Monash Health and University, Melbourne, VIC, Australia; Hudson Institute, Melbourne, VIC, Australia</w:t>
            </w:r>
            <w:r w:rsidR="009D35EA" w:rsidRPr="00292E38">
              <w:rPr>
                <w:i/>
                <w:iCs/>
                <w:color w:val="auto"/>
                <w:sz w:val="22"/>
                <w:szCs w:val="22"/>
              </w:rPr>
              <w:br/>
            </w:r>
            <w:r>
              <w:rPr>
                <w:i/>
                <w:iCs/>
                <w:color w:val="auto"/>
                <w:sz w:val="22"/>
                <w:szCs w:val="22"/>
                <w:vertAlign w:val="superscript"/>
              </w:rPr>
              <w:t>3</w:t>
            </w:r>
            <w:r w:rsidR="009D35EA" w:rsidRPr="00292E38">
              <w:rPr>
                <w:i/>
                <w:iCs/>
                <w:color w:val="auto"/>
                <w:sz w:val="22"/>
                <w:szCs w:val="22"/>
              </w:rPr>
              <w:t>Division of Pulmonary, Allergy and Critical Care Medicine, University of Alabama at Birmingham, Birmingham, AL, USA</w:t>
            </w:r>
            <w:r w:rsidR="009D35EA" w:rsidRPr="00292E38">
              <w:rPr>
                <w:i/>
                <w:iCs/>
                <w:color w:val="auto"/>
                <w:sz w:val="22"/>
                <w:szCs w:val="22"/>
              </w:rPr>
              <w:br/>
            </w:r>
            <w:r>
              <w:rPr>
                <w:i/>
                <w:iCs/>
                <w:color w:val="auto"/>
                <w:sz w:val="22"/>
                <w:szCs w:val="22"/>
                <w:vertAlign w:val="superscript"/>
              </w:rPr>
              <w:t>4</w:t>
            </w:r>
            <w:r w:rsidR="009D35EA" w:rsidRPr="00292E38">
              <w:rPr>
                <w:i/>
                <w:iCs/>
                <w:color w:val="auto"/>
                <w:sz w:val="22"/>
                <w:szCs w:val="22"/>
              </w:rPr>
              <w:t>LungenClinic Grosshansdorf, Grosshansdorf, Germany; Christian Albrechts University of Kiel, Airway Research Center North, German Center for Lung Research, Grosshansdorf, Germany</w:t>
            </w:r>
            <w:r w:rsidR="009D35EA" w:rsidRPr="00292E38">
              <w:rPr>
                <w:i/>
                <w:iCs/>
                <w:color w:val="auto"/>
                <w:sz w:val="22"/>
                <w:szCs w:val="22"/>
              </w:rPr>
              <w:br/>
            </w:r>
            <w:r>
              <w:rPr>
                <w:i/>
                <w:iCs/>
                <w:color w:val="auto"/>
                <w:sz w:val="22"/>
                <w:szCs w:val="22"/>
                <w:vertAlign w:val="superscript"/>
              </w:rPr>
              <w:t>5</w:t>
            </w:r>
            <w:r w:rsidR="009D35EA" w:rsidRPr="00292E38">
              <w:rPr>
                <w:i/>
                <w:iCs/>
                <w:color w:val="auto"/>
                <w:sz w:val="22"/>
                <w:szCs w:val="22"/>
              </w:rPr>
              <w:t>Section of Pulmonary and Critical Care Medicine, Baylor College of Medicine, Houston, Texas</w:t>
            </w:r>
            <w:r w:rsidR="009D35EA" w:rsidRPr="00292E38">
              <w:rPr>
                <w:i/>
                <w:iCs/>
                <w:color w:val="auto"/>
                <w:sz w:val="22"/>
                <w:szCs w:val="22"/>
              </w:rPr>
              <w:br/>
            </w:r>
            <w:r>
              <w:rPr>
                <w:i/>
                <w:iCs/>
                <w:color w:val="auto"/>
                <w:sz w:val="22"/>
                <w:szCs w:val="22"/>
                <w:vertAlign w:val="superscript"/>
              </w:rPr>
              <w:t>6</w:t>
            </w:r>
            <w:r w:rsidR="009D35EA" w:rsidRPr="00292E38">
              <w:rPr>
                <w:i/>
                <w:iCs/>
                <w:color w:val="auto"/>
                <w:sz w:val="22"/>
                <w:szCs w:val="22"/>
                <w:shd w:val="clear" w:color="auto" w:fill="FFFFFF"/>
              </w:rPr>
              <w:t>Department of Medicine, Pulmonary and Critical Care Medicine, Philipps-Universität Marburg, German Center for Lung Research (DZL), Marburg Germany</w:t>
            </w:r>
            <w:r w:rsidR="009D35EA" w:rsidRPr="00292E38">
              <w:rPr>
                <w:i/>
                <w:iCs/>
                <w:color w:val="auto"/>
                <w:sz w:val="22"/>
                <w:szCs w:val="22"/>
              </w:rPr>
              <w:br/>
            </w:r>
            <w:r>
              <w:rPr>
                <w:i/>
                <w:iCs/>
                <w:sz w:val="22"/>
                <w:szCs w:val="22"/>
                <w:vertAlign w:val="superscript"/>
              </w:rPr>
              <w:t>7</w:t>
            </w:r>
            <w:r w:rsidR="009D35EA" w:rsidRPr="00292E38">
              <w:rPr>
                <w:i/>
                <w:iCs/>
                <w:color w:val="auto"/>
                <w:sz w:val="22"/>
                <w:szCs w:val="22"/>
                <w:shd w:val="clear" w:color="auto" w:fill="FFFFFF"/>
              </w:rPr>
              <w:t>OK Clinical Research, Edmond, OK, USA</w:t>
            </w:r>
            <w:r w:rsidR="009D35EA" w:rsidRPr="00292E38">
              <w:rPr>
                <w:i/>
                <w:iCs/>
                <w:color w:val="auto"/>
                <w:sz w:val="22"/>
                <w:szCs w:val="22"/>
                <w:vertAlign w:val="superscript"/>
              </w:rPr>
              <w:br/>
            </w:r>
            <w:r>
              <w:rPr>
                <w:i/>
                <w:iCs/>
                <w:sz w:val="22"/>
                <w:szCs w:val="22"/>
                <w:vertAlign w:val="superscript"/>
              </w:rPr>
              <w:t>8</w:t>
            </w:r>
            <w:r w:rsidR="009D35EA" w:rsidRPr="00292E38">
              <w:rPr>
                <w:i/>
                <w:iCs/>
                <w:color w:val="auto"/>
                <w:sz w:val="22"/>
                <w:szCs w:val="22"/>
                <w:shd w:val="clear" w:color="auto" w:fill="FFFFFF"/>
              </w:rPr>
              <w:t>King’s Centre for Lung Health, School of Immunology and Microbial Sciences, Faculty of Life Sciences and Medicine, King’s College London, United Kingdom</w:t>
            </w:r>
            <w:r w:rsidR="009D35EA" w:rsidRPr="00292E38">
              <w:rPr>
                <w:i/>
                <w:iCs/>
                <w:sz w:val="22"/>
                <w:szCs w:val="22"/>
              </w:rPr>
              <w:br/>
            </w:r>
            <w:r>
              <w:rPr>
                <w:i/>
                <w:iCs/>
                <w:sz w:val="22"/>
                <w:szCs w:val="22"/>
                <w:vertAlign w:val="superscript"/>
              </w:rPr>
              <w:t>9</w:t>
            </w:r>
            <w:r w:rsidR="009D35EA" w:rsidRPr="00292E38">
              <w:rPr>
                <w:i/>
                <w:iCs/>
                <w:sz w:val="22"/>
                <w:szCs w:val="22"/>
              </w:rPr>
              <w:t>Division of Pulmonary, Critical Care, Allergy &amp; Sleep Medicine, University of California, San Francisco, San Francisco, CA, USA</w:t>
            </w:r>
            <w:r w:rsidR="009D35EA" w:rsidRPr="00292E38">
              <w:rPr>
                <w:i/>
                <w:iCs/>
                <w:sz w:val="22"/>
                <w:szCs w:val="22"/>
              </w:rPr>
              <w:br/>
            </w:r>
            <w:r>
              <w:rPr>
                <w:i/>
                <w:iCs/>
                <w:color w:val="auto"/>
                <w:sz w:val="22"/>
                <w:szCs w:val="22"/>
                <w:vertAlign w:val="superscript"/>
              </w:rPr>
              <w:t>10</w:t>
            </w:r>
            <w:r w:rsidR="009D35EA" w:rsidRPr="00292E38">
              <w:rPr>
                <w:i/>
                <w:iCs/>
                <w:color w:val="auto"/>
                <w:sz w:val="22"/>
                <w:szCs w:val="22"/>
                <w:shd w:val="clear" w:color="auto" w:fill="FFFFFF"/>
              </w:rPr>
              <w:t>University of Ferrara, Ferrara, Italy</w:t>
            </w:r>
            <w:r w:rsidR="009D35EA" w:rsidRPr="00292E38">
              <w:rPr>
                <w:i/>
                <w:iCs/>
                <w:sz w:val="22"/>
                <w:szCs w:val="22"/>
              </w:rPr>
              <w:br/>
            </w:r>
            <w:r w:rsidR="009D35EA" w:rsidRPr="00292E38">
              <w:rPr>
                <w:i/>
                <w:iCs/>
                <w:sz w:val="22"/>
                <w:szCs w:val="22"/>
                <w:vertAlign w:val="superscript"/>
              </w:rPr>
              <w:t>1</w:t>
            </w:r>
            <w:r>
              <w:rPr>
                <w:i/>
                <w:iCs/>
                <w:sz w:val="22"/>
                <w:szCs w:val="22"/>
                <w:vertAlign w:val="superscript"/>
              </w:rPr>
              <w:t>1</w:t>
            </w:r>
            <w:r w:rsidR="009D35EA" w:rsidRPr="00292E38">
              <w:rPr>
                <w:i/>
                <w:iCs/>
                <w:color w:val="auto"/>
                <w:sz w:val="22"/>
                <w:szCs w:val="22"/>
                <w:shd w:val="clear" w:color="auto" w:fill="FFFFFF"/>
              </w:rPr>
              <w:t>Manchester University NHS Foundation Trust, University of Manchester, Manchester, United Kingdom</w:t>
            </w:r>
            <w:r w:rsidR="009D35EA" w:rsidRPr="00292E38">
              <w:rPr>
                <w:i/>
                <w:iCs/>
                <w:sz w:val="22"/>
                <w:szCs w:val="22"/>
              </w:rPr>
              <w:br/>
            </w:r>
            <w:r w:rsidR="009D35EA" w:rsidRPr="00292E38">
              <w:rPr>
                <w:i/>
                <w:iCs/>
                <w:color w:val="auto"/>
                <w:sz w:val="22"/>
                <w:szCs w:val="22"/>
                <w:vertAlign w:val="superscript"/>
              </w:rPr>
              <w:t>1</w:t>
            </w:r>
            <w:r>
              <w:rPr>
                <w:i/>
                <w:iCs/>
                <w:color w:val="auto"/>
                <w:sz w:val="22"/>
                <w:szCs w:val="22"/>
                <w:vertAlign w:val="superscript"/>
              </w:rPr>
              <w:t>2</w:t>
            </w:r>
            <w:r w:rsidR="009D35EA" w:rsidRPr="00292E38">
              <w:rPr>
                <w:i/>
                <w:iCs/>
                <w:color w:val="auto"/>
                <w:sz w:val="22"/>
                <w:szCs w:val="22"/>
              </w:rPr>
              <w:t>Sanofi, Bridgewater, NJ, USA</w:t>
            </w:r>
            <w:r w:rsidR="009D35EA" w:rsidRPr="00292E38">
              <w:rPr>
                <w:i/>
                <w:iCs/>
                <w:color w:val="auto"/>
                <w:sz w:val="22"/>
                <w:szCs w:val="22"/>
              </w:rPr>
              <w:br/>
            </w:r>
            <w:r w:rsidR="009D35EA" w:rsidRPr="00292E38">
              <w:rPr>
                <w:i/>
                <w:iCs/>
                <w:color w:val="auto"/>
                <w:sz w:val="22"/>
                <w:szCs w:val="22"/>
                <w:vertAlign w:val="superscript"/>
              </w:rPr>
              <w:t>1</w:t>
            </w:r>
            <w:r>
              <w:rPr>
                <w:i/>
                <w:iCs/>
                <w:color w:val="auto"/>
                <w:sz w:val="22"/>
                <w:szCs w:val="22"/>
                <w:vertAlign w:val="superscript"/>
              </w:rPr>
              <w:t>3</w:t>
            </w:r>
            <w:r w:rsidR="009D35EA" w:rsidRPr="00292E38">
              <w:rPr>
                <w:i/>
                <w:iCs/>
                <w:color w:val="auto"/>
                <w:sz w:val="22"/>
                <w:szCs w:val="22"/>
              </w:rPr>
              <w:t>Regeneron Pharmaceuticals Inc., Tarrytown, NY, USA</w:t>
            </w:r>
            <w:r w:rsidR="009D35EA" w:rsidRPr="00292E38">
              <w:rPr>
                <w:i/>
                <w:iCs/>
                <w:color w:val="auto"/>
                <w:sz w:val="22"/>
                <w:szCs w:val="22"/>
              </w:rPr>
              <w:br/>
            </w:r>
            <w:r w:rsidR="009D35EA" w:rsidRPr="00292E38">
              <w:rPr>
                <w:i/>
                <w:iCs/>
                <w:color w:val="auto"/>
                <w:sz w:val="22"/>
                <w:szCs w:val="22"/>
                <w:vertAlign w:val="superscript"/>
              </w:rPr>
              <w:t>1</w:t>
            </w:r>
            <w:r>
              <w:rPr>
                <w:i/>
                <w:iCs/>
                <w:color w:val="auto"/>
                <w:sz w:val="22"/>
                <w:szCs w:val="22"/>
                <w:vertAlign w:val="superscript"/>
              </w:rPr>
              <w:t>4</w:t>
            </w:r>
            <w:r w:rsidR="009D35EA" w:rsidRPr="00292E38">
              <w:rPr>
                <w:i/>
                <w:iCs/>
                <w:color w:val="auto"/>
                <w:sz w:val="22"/>
                <w:szCs w:val="22"/>
              </w:rPr>
              <w:t>Sanofi, Cambridge, MA, USA</w:t>
            </w:r>
          </w:p>
        </w:tc>
      </w:tr>
      <w:tr w:rsidR="001564A4" w:rsidRPr="00292E38" w14:paraId="6DAF615A" w14:textId="77777777" w:rsidTr="00292E38">
        <w:trPr>
          <w:trHeight w:hRule="exact" w:val="6880"/>
          <w:jc w:val="center"/>
        </w:trPr>
        <w:tc>
          <w:tcPr>
            <w:tcW w:w="9634" w:type="dxa"/>
            <w:shd w:val="clear" w:color="auto" w:fill="auto"/>
          </w:tcPr>
          <w:p w14:paraId="739E7937" w14:textId="64524F7A" w:rsidR="001564A4" w:rsidRPr="00292E38" w:rsidRDefault="001564A4" w:rsidP="00292E38">
            <w:pPr>
              <w:pStyle w:val="Pa12"/>
              <w:spacing w:line="240" w:lineRule="auto"/>
              <w:rPr>
                <w:rStyle w:val="A4"/>
              </w:rPr>
            </w:pPr>
            <w:r w:rsidRPr="00292E38">
              <w:rPr>
                <w:rStyle w:val="A4"/>
                <w:b/>
                <w:bCs/>
              </w:rPr>
              <w:t xml:space="preserve">Introduction/Aim: </w:t>
            </w:r>
            <w:r w:rsidR="009D35EA" w:rsidRPr="00292E38">
              <w:rPr>
                <w:sz w:val="22"/>
                <w:szCs w:val="22"/>
              </w:rPr>
              <w:t>Dupilumab (DPL), a fully human mAb, blocks the shared receptor component for IL-4 and IL-13, key/central drivers of Type 2 (T2) inflammation. The aim of this analysis was to</w:t>
            </w:r>
            <w:r w:rsidR="009D35EA" w:rsidRPr="00292E38">
              <w:rPr>
                <w:b/>
                <w:bCs/>
                <w:sz w:val="22"/>
                <w:szCs w:val="22"/>
              </w:rPr>
              <w:t xml:space="preserve"> </w:t>
            </w:r>
            <w:r w:rsidR="009D35EA" w:rsidRPr="00292E38">
              <w:rPr>
                <w:sz w:val="22"/>
                <w:szCs w:val="22"/>
              </w:rPr>
              <w:t>determine efficacy/safety in patients with moderate-to-severe COPD with T2 inflammation.</w:t>
            </w:r>
          </w:p>
          <w:p w14:paraId="5029BAE6" w14:textId="5849A2D8" w:rsidR="001564A4" w:rsidRPr="00292E38" w:rsidRDefault="001564A4" w:rsidP="00292E38">
            <w:pPr>
              <w:pStyle w:val="Pa12"/>
              <w:spacing w:line="240" w:lineRule="auto"/>
              <w:rPr>
                <w:rStyle w:val="A4"/>
                <w:b/>
                <w:bCs/>
              </w:rPr>
            </w:pPr>
            <w:r w:rsidRPr="00292E38">
              <w:rPr>
                <w:rStyle w:val="A4"/>
                <w:b/>
                <w:bCs/>
              </w:rPr>
              <w:t xml:space="preserve">Methods: </w:t>
            </w:r>
            <w:r w:rsidR="009D35EA" w:rsidRPr="00292E38">
              <w:rPr>
                <w:sz w:val="22"/>
                <w:szCs w:val="22"/>
              </w:rPr>
              <w:t>BOREAS (NCT03930732) was a 52-week (wk), phase 3, randomized, double-blind, placebo (PBO)-controlled trial of efficacy/safety of biweekly DPL 300mg in COPD pts with blood eosinophils ≥300cells/µL at screening, on triple therapy (an inhaled corticosteroid [ICS], long-acting β2-agonists [LABA], and long-acting muscarinic antagonists [LAMA]; or LABA/LAMA if ICS was contraindicated) without asthma diagnosis/history. Primary endpoint: annualized rate of moderate-severe exacerbations. Secondary/other endpoints: change from baseline (BL) in pre-bronchodilator FEV</w:t>
            </w:r>
            <w:r w:rsidR="009D35EA" w:rsidRPr="00292E38">
              <w:rPr>
                <w:sz w:val="22"/>
                <w:szCs w:val="22"/>
                <w:vertAlign w:val="subscript"/>
              </w:rPr>
              <w:t xml:space="preserve">1 </w:t>
            </w:r>
            <w:r w:rsidR="009D35EA" w:rsidRPr="00292E38">
              <w:rPr>
                <w:sz w:val="22"/>
                <w:szCs w:val="22"/>
              </w:rPr>
              <w:t>at</w:t>
            </w:r>
            <w:r w:rsidR="009D35EA" w:rsidRPr="00292E38">
              <w:rPr>
                <w:sz w:val="22"/>
                <w:szCs w:val="22"/>
                <w:vertAlign w:val="subscript"/>
              </w:rPr>
              <w:t xml:space="preserve"> </w:t>
            </w:r>
            <w:r w:rsidR="009D35EA" w:rsidRPr="00292E38">
              <w:rPr>
                <w:sz w:val="22"/>
                <w:szCs w:val="22"/>
              </w:rPr>
              <w:t>wk 12 and wk 52; cumulative exacerbations over time; safety.</w:t>
            </w:r>
          </w:p>
          <w:p w14:paraId="68537800" w14:textId="75080EC8" w:rsidR="001564A4" w:rsidRPr="00292E38" w:rsidRDefault="001564A4" w:rsidP="00292E38">
            <w:pPr>
              <w:pStyle w:val="Pa12"/>
              <w:spacing w:line="240" w:lineRule="auto"/>
              <w:rPr>
                <w:rStyle w:val="A4"/>
                <w:b/>
                <w:bCs/>
              </w:rPr>
            </w:pPr>
            <w:r w:rsidRPr="00292E38">
              <w:rPr>
                <w:rStyle w:val="A4"/>
                <w:b/>
                <w:bCs/>
              </w:rPr>
              <w:t xml:space="preserve">Results: </w:t>
            </w:r>
            <w:r w:rsidR="009D35EA" w:rsidRPr="00292E38">
              <w:rPr>
                <w:sz w:val="22"/>
                <w:szCs w:val="22"/>
              </w:rPr>
              <w:t xml:space="preserve">939 participants were randomized to PBO (N=471) or DPL (N=468). DPL reduced exacerbation rates by 30% vs PBO (p=0.0005). </w:t>
            </w:r>
            <w:r w:rsidR="009D35EA" w:rsidRPr="00292E38">
              <w:rPr>
                <w:rFonts w:eastAsiaTheme="minorEastAsia"/>
                <w:sz w:val="22"/>
                <w:szCs w:val="22"/>
                <w:lang w:eastAsia="ko-KR"/>
              </w:rPr>
              <w:t>DPL significantly increased pre-BD FEV</w:t>
            </w:r>
            <w:r w:rsidR="009D35EA" w:rsidRPr="00292E38">
              <w:rPr>
                <w:rFonts w:eastAsiaTheme="minorEastAsia"/>
                <w:sz w:val="22"/>
                <w:szCs w:val="22"/>
                <w:vertAlign w:val="subscript"/>
                <w:lang w:eastAsia="ko-KR"/>
              </w:rPr>
              <w:t>1</w:t>
            </w:r>
            <w:r w:rsidR="009D35EA" w:rsidRPr="00292E38">
              <w:rPr>
                <w:rFonts w:eastAsiaTheme="minorEastAsia"/>
                <w:sz w:val="22"/>
                <w:szCs w:val="22"/>
                <w:lang w:eastAsia="ko-KR"/>
              </w:rPr>
              <w:t xml:space="preserve"> at wk 12 (LSM difference vs PBO: 83mL, p&lt;0.0001); sustained through wk 52 (83mL, p=0.0003). This trended towards reduced exacerbation-associated annualized total SCS treatment duration for DPL (13.57 days [SD 13.17]) vs for PBO (19.09 days [SD 20.65]). Safety similar in DPL and PBO groups; TEAEs balanced.</w:t>
            </w:r>
          </w:p>
          <w:p w14:paraId="196E7BAC" w14:textId="0EA703F7" w:rsidR="001564A4" w:rsidRPr="00292E38" w:rsidRDefault="001564A4" w:rsidP="00292E38">
            <w:pPr>
              <w:pStyle w:val="Pa12"/>
              <w:spacing w:line="240" w:lineRule="auto"/>
              <w:rPr>
                <w:rStyle w:val="A4"/>
                <w:bCs/>
              </w:rPr>
            </w:pPr>
            <w:r w:rsidRPr="00292E38">
              <w:rPr>
                <w:rStyle w:val="A4"/>
                <w:b/>
                <w:bCs/>
              </w:rPr>
              <w:t xml:space="preserve">Conclusion: </w:t>
            </w:r>
            <w:r w:rsidR="009D35EA" w:rsidRPr="00292E38">
              <w:rPr>
                <w:sz w:val="22"/>
                <w:szCs w:val="22"/>
              </w:rPr>
              <w:t>DPL significantly improved moderate-severe exacerbations, lung function, quality of life, and symptoms in COPD patients with T2 inflammation. The use of SCS days required for the treatment of AECOPD trended lower with DPL.</w:t>
            </w:r>
          </w:p>
          <w:p w14:paraId="0DA52781" w14:textId="77777777" w:rsidR="005471D2" w:rsidRPr="00292E38" w:rsidRDefault="001564A4" w:rsidP="00292E38">
            <w:pPr>
              <w:pStyle w:val="Pa12"/>
              <w:spacing w:line="240" w:lineRule="auto"/>
              <w:rPr>
                <w:sz w:val="22"/>
                <w:szCs w:val="22"/>
              </w:rPr>
            </w:pPr>
            <w:r w:rsidRPr="00292E38">
              <w:rPr>
                <w:rStyle w:val="A4"/>
                <w:b/>
                <w:bCs/>
              </w:rPr>
              <w:t xml:space="preserve">Grant Support: </w:t>
            </w:r>
            <w:r w:rsidR="009D35EA" w:rsidRPr="00292E38">
              <w:rPr>
                <w:sz w:val="22"/>
                <w:szCs w:val="22"/>
              </w:rPr>
              <w:t>*Presenting on behalf of authors</w:t>
            </w:r>
            <w:r w:rsidR="009D35EA" w:rsidRPr="00292E38">
              <w:rPr>
                <w:bCs/>
                <w:sz w:val="22"/>
                <w:szCs w:val="22"/>
              </w:rPr>
              <w:t>. Data first presented at the European Respiratory Society International Congress (ERS 2023); Milan, Italy; September 9-13, 2023. Research was sponsored by Sanofi and Regeneron Pharmaceuticals Inc. Medical writing/editorial</w:t>
            </w:r>
            <w:r w:rsidR="009D35EA" w:rsidRPr="00292E38">
              <w:rPr>
                <w:sz w:val="22"/>
                <w:szCs w:val="22"/>
              </w:rPr>
              <w:t xml:space="preserve"> assistance was provided by Luke Ray, Ph.D., of Excerpta Medica, and was funded by Sanofi and Regeneron Pharmaceuticals Inc., according to the </w:t>
            </w:r>
            <w:hyperlink r:id="rId7">
              <w:r w:rsidR="009D35EA" w:rsidRPr="00292E38">
                <w:rPr>
                  <w:rStyle w:val="Hyperlink"/>
                  <w:rFonts w:eastAsiaTheme="majorEastAsia"/>
                  <w:sz w:val="22"/>
                  <w:szCs w:val="22"/>
                </w:rPr>
                <w:t>Good Publication Practice guidelines</w:t>
              </w:r>
            </w:hyperlink>
            <w:r w:rsidR="009D35EA" w:rsidRPr="00292E38">
              <w:rPr>
                <w:sz w:val="22"/>
                <w:szCs w:val="22"/>
              </w:rPr>
              <w:t>.</w:t>
            </w:r>
          </w:p>
          <w:p w14:paraId="7315F147" w14:textId="77777777" w:rsidR="005471D2" w:rsidRPr="00292E38" w:rsidRDefault="005471D2" w:rsidP="00292E38">
            <w:pPr>
              <w:pStyle w:val="Pa12"/>
              <w:spacing w:line="240" w:lineRule="auto"/>
              <w:rPr>
                <w:sz w:val="22"/>
                <w:szCs w:val="22"/>
              </w:rPr>
            </w:pPr>
          </w:p>
          <w:p w14:paraId="2BD61BDE" w14:textId="77777777" w:rsidR="005471D2" w:rsidRPr="00292E38" w:rsidRDefault="005471D2" w:rsidP="00292E38">
            <w:pPr>
              <w:spacing w:after="120"/>
              <w:rPr>
                <w:rFonts w:ascii="Arial" w:hAnsi="Arial" w:cs="Arial"/>
                <w:sz w:val="22"/>
                <w:szCs w:val="22"/>
              </w:rPr>
            </w:pPr>
            <w:r w:rsidRPr="00292E38">
              <w:rPr>
                <w:rFonts w:ascii="Arial" w:hAnsi="Arial" w:cs="Arial"/>
                <w:b/>
                <w:bCs/>
                <w:sz w:val="22"/>
                <w:szCs w:val="22"/>
              </w:rPr>
              <w:t xml:space="preserve">Keywords: </w:t>
            </w:r>
            <w:r w:rsidRPr="00292E38">
              <w:rPr>
                <w:rFonts w:ascii="Arial" w:hAnsi="Arial" w:cs="Arial"/>
                <w:sz w:val="22"/>
                <w:szCs w:val="22"/>
              </w:rPr>
              <w:t>Dupilumab, COPD, type 2 inflammation, efficacy, quality of life, safety</w:t>
            </w:r>
          </w:p>
          <w:p w14:paraId="7F8381F0" w14:textId="13E92AA6" w:rsidR="001564A4" w:rsidRPr="00292E38" w:rsidRDefault="001564A4" w:rsidP="00292E38">
            <w:pPr>
              <w:pStyle w:val="Pa12"/>
              <w:spacing w:line="240" w:lineRule="auto"/>
              <w:rPr>
                <w:b/>
                <w:bCs/>
                <w:color w:val="000000"/>
                <w:sz w:val="22"/>
                <w:szCs w:val="22"/>
              </w:rPr>
            </w:pPr>
            <w:r w:rsidRPr="00292E38">
              <w:rPr>
                <w:sz w:val="22"/>
                <w:szCs w:val="22"/>
              </w:rPr>
              <w:br/>
            </w:r>
            <w:r w:rsidRPr="00292E38">
              <w:rPr>
                <w:sz w:val="22"/>
                <w:szCs w:val="22"/>
              </w:rPr>
              <w:br/>
            </w:r>
            <w:r w:rsidRPr="00292E38">
              <w:rPr>
                <w:sz w:val="22"/>
                <w:szCs w:val="22"/>
              </w:rPr>
              <w:br/>
            </w:r>
            <w:r w:rsidRPr="00292E38">
              <w:rPr>
                <w:sz w:val="22"/>
                <w:szCs w:val="22"/>
              </w:rPr>
              <w:br/>
            </w:r>
            <w:r w:rsidRPr="00292E38">
              <w:rPr>
                <w:sz w:val="22"/>
                <w:szCs w:val="22"/>
              </w:rPr>
              <w:br/>
            </w:r>
          </w:p>
          <w:p w14:paraId="731CD908" w14:textId="77777777" w:rsidR="001564A4" w:rsidRPr="00292E38" w:rsidRDefault="001564A4" w:rsidP="00292E38">
            <w:pPr>
              <w:pStyle w:val="Default"/>
              <w:rPr>
                <w:sz w:val="22"/>
                <w:szCs w:val="22"/>
              </w:rPr>
            </w:pPr>
          </w:p>
          <w:p w14:paraId="34BF0A0F" w14:textId="77777777" w:rsidR="001564A4" w:rsidRPr="00292E38" w:rsidRDefault="001564A4" w:rsidP="00292E38">
            <w:pPr>
              <w:pStyle w:val="Default"/>
              <w:rPr>
                <w:sz w:val="22"/>
                <w:szCs w:val="22"/>
              </w:rPr>
            </w:pPr>
          </w:p>
          <w:p w14:paraId="1FF1A88F" w14:textId="77777777" w:rsidR="001564A4" w:rsidRPr="00292E38" w:rsidRDefault="001564A4" w:rsidP="00292E38">
            <w:pPr>
              <w:pStyle w:val="Pa12"/>
              <w:spacing w:line="240" w:lineRule="auto"/>
              <w:rPr>
                <w:rStyle w:val="A4"/>
                <w:bCs/>
              </w:rPr>
            </w:pPr>
            <w:r w:rsidRPr="00292E38">
              <w:rPr>
                <w:rStyle w:val="A4"/>
                <w:bCs/>
              </w:rPr>
              <w:br/>
            </w:r>
            <w:r w:rsidRPr="00292E38">
              <w:rPr>
                <w:rStyle w:val="A4"/>
                <w:bCs/>
              </w:rPr>
              <w:br/>
            </w:r>
            <w:r w:rsidRPr="00292E38">
              <w:rPr>
                <w:rStyle w:val="A4"/>
                <w:bCs/>
              </w:rPr>
              <w:br/>
            </w:r>
            <w:r w:rsidRPr="00292E38">
              <w:rPr>
                <w:rStyle w:val="A4"/>
                <w:bCs/>
              </w:rPr>
              <w:br/>
            </w:r>
            <w:r w:rsidRPr="00292E38">
              <w:rPr>
                <w:rStyle w:val="A4"/>
                <w:bCs/>
              </w:rPr>
              <w:br/>
            </w:r>
            <w:r w:rsidRPr="00292E38">
              <w:rPr>
                <w:rStyle w:val="A4"/>
                <w:bCs/>
              </w:rPr>
              <w:br/>
            </w:r>
            <w:r w:rsidRPr="00292E38">
              <w:rPr>
                <w:rStyle w:val="A4"/>
                <w:bCs/>
              </w:rPr>
              <w:br/>
            </w:r>
            <w:r w:rsidRPr="00292E38">
              <w:rPr>
                <w:rStyle w:val="A4"/>
                <w:bCs/>
              </w:rPr>
              <w:br/>
            </w:r>
            <w:r w:rsidRPr="00292E38">
              <w:rPr>
                <w:rStyle w:val="A4"/>
                <w:bCs/>
              </w:rPr>
              <w:br/>
            </w:r>
            <w:r w:rsidRPr="00292E38">
              <w:rPr>
                <w:rStyle w:val="A4"/>
                <w:bCs/>
              </w:rPr>
              <w:br/>
            </w:r>
            <w:r w:rsidRPr="00292E38">
              <w:rPr>
                <w:rStyle w:val="A4"/>
                <w:bCs/>
              </w:rPr>
              <w:br/>
            </w:r>
          </w:p>
          <w:p w14:paraId="14DC37E4" w14:textId="77777777" w:rsidR="001564A4" w:rsidRPr="00292E38" w:rsidRDefault="001564A4" w:rsidP="00292E38">
            <w:pPr>
              <w:pStyle w:val="Default"/>
              <w:rPr>
                <w:rStyle w:val="A4"/>
                <w:bCs/>
              </w:rPr>
            </w:pPr>
          </w:p>
          <w:p w14:paraId="5F58D34F" w14:textId="77777777" w:rsidR="001564A4" w:rsidRPr="00292E38" w:rsidRDefault="001564A4" w:rsidP="00292E38">
            <w:pPr>
              <w:pStyle w:val="Default"/>
              <w:rPr>
                <w:sz w:val="22"/>
                <w:szCs w:val="22"/>
                <w:lang w:val="en-US" w:eastAsia="en-GB"/>
              </w:rPr>
            </w:pPr>
            <w:r w:rsidRPr="00292E38">
              <w:rPr>
                <w:sz w:val="22"/>
                <w:szCs w:val="22"/>
                <w:lang w:val="en-US" w:eastAsia="en-GB"/>
              </w:rPr>
              <w:br/>
            </w:r>
            <w:r w:rsidRPr="00292E38">
              <w:rPr>
                <w:sz w:val="22"/>
                <w:szCs w:val="22"/>
                <w:lang w:val="en-US" w:eastAsia="en-GB"/>
              </w:rPr>
              <w:br/>
            </w:r>
            <w:r w:rsidRPr="00292E38">
              <w:rPr>
                <w:sz w:val="22"/>
                <w:szCs w:val="22"/>
                <w:lang w:val="en-US" w:eastAsia="en-GB"/>
              </w:rPr>
              <w:br/>
            </w:r>
            <w:r w:rsidRPr="00292E38">
              <w:rPr>
                <w:sz w:val="22"/>
                <w:szCs w:val="22"/>
                <w:lang w:val="en-US" w:eastAsia="en-GB"/>
              </w:rPr>
              <w:br/>
            </w:r>
            <w:r w:rsidRPr="00292E38">
              <w:rPr>
                <w:sz w:val="22"/>
                <w:szCs w:val="22"/>
                <w:lang w:val="en-US" w:eastAsia="en-GB"/>
              </w:rPr>
              <w:br/>
            </w:r>
            <w:r w:rsidRPr="00292E38">
              <w:rPr>
                <w:sz w:val="22"/>
                <w:szCs w:val="22"/>
                <w:lang w:val="en-US" w:eastAsia="en-GB"/>
              </w:rPr>
              <w:br/>
            </w:r>
            <w:r w:rsidRPr="00292E38">
              <w:rPr>
                <w:sz w:val="22"/>
                <w:szCs w:val="22"/>
                <w:lang w:val="en-US" w:eastAsia="en-GB"/>
              </w:rPr>
              <w:br/>
            </w:r>
            <w:r w:rsidRPr="00292E38">
              <w:rPr>
                <w:sz w:val="22"/>
                <w:szCs w:val="22"/>
                <w:lang w:val="en-US" w:eastAsia="en-GB"/>
              </w:rPr>
              <w:br/>
            </w:r>
            <w:r w:rsidRPr="00292E38">
              <w:rPr>
                <w:sz w:val="22"/>
                <w:szCs w:val="22"/>
                <w:lang w:val="en-US" w:eastAsia="en-GB"/>
              </w:rPr>
              <w:br/>
            </w:r>
            <w:r w:rsidRPr="00292E38">
              <w:rPr>
                <w:sz w:val="22"/>
                <w:szCs w:val="22"/>
                <w:lang w:val="en-US" w:eastAsia="en-GB"/>
              </w:rPr>
              <w:br/>
            </w:r>
            <w:r w:rsidRPr="00292E38">
              <w:rPr>
                <w:sz w:val="22"/>
                <w:szCs w:val="22"/>
                <w:lang w:val="en-US" w:eastAsia="en-GB"/>
              </w:rPr>
              <w:br/>
            </w:r>
            <w:r w:rsidRPr="00292E38">
              <w:rPr>
                <w:sz w:val="22"/>
                <w:szCs w:val="22"/>
                <w:lang w:val="en-US" w:eastAsia="en-GB"/>
              </w:rPr>
              <w:br/>
            </w:r>
            <w:r w:rsidRPr="00292E38">
              <w:rPr>
                <w:sz w:val="22"/>
                <w:szCs w:val="22"/>
                <w:lang w:val="en-US" w:eastAsia="en-GB"/>
              </w:rPr>
              <w:br/>
            </w:r>
            <w:r w:rsidRPr="00292E38">
              <w:rPr>
                <w:sz w:val="22"/>
                <w:szCs w:val="22"/>
                <w:lang w:val="en-US" w:eastAsia="en-GB"/>
              </w:rPr>
              <w:br/>
            </w:r>
            <w:r w:rsidRPr="00292E38">
              <w:rPr>
                <w:sz w:val="22"/>
                <w:szCs w:val="22"/>
                <w:lang w:val="en-US" w:eastAsia="en-GB"/>
              </w:rPr>
              <w:br/>
            </w:r>
            <w:r w:rsidRPr="00292E38">
              <w:rPr>
                <w:sz w:val="22"/>
                <w:szCs w:val="22"/>
                <w:lang w:val="en-US" w:eastAsia="en-GB"/>
              </w:rPr>
              <w:br/>
            </w:r>
            <w:r w:rsidRPr="00292E38">
              <w:rPr>
                <w:sz w:val="22"/>
                <w:szCs w:val="22"/>
                <w:lang w:val="en-US" w:eastAsia="en-GB"/>
              </w:rPr>
              <w:br/>
            </w:r>
            <w:r w:rsidRPr="00292E38">
              <w:rPr>
                <w:sz w:val="22"/>
                <w:szCs w:val="22"/>
                <w:lang w:val="en-US" w:eastAsia="en-GB"/>
              </w:rPr>
              <w:br/>
            </w:r>
            <w:r w:rsidRPr="00292E38">
              <w:rPr>
                <w:sz w:val="22"/>
                <w:szCs w:val="22"/>
                <w:lang w:val="en-US" w:eastAsia="en-GB"/>
              </w:rPr>
              <w:br/>
            </w:r>
            <w:r w:rsidRPr="00292E38">
              <w:rPr>
                <w:sz w:val="22"/>
                <w:szCs w:val="22"/>
                <w:lang w:val="en-US" w:eastAsia="en-GB"/>
              </w:rPr>
              <w:br/>
            </w:r>
            <w:r w:rsidRPr="00292E38">
              <w:rPr>
                <w:sz w:val="22"/>
                <w:szCs w:val="22"/>
                <w:lang w:val="en-US" w:eastAsia="en-GB"/>
              </w:rPr>
              <w:br/>
            </w:r>
            <w:r w:rsidRPr="00292E38">
              <w:rPr>
                <w:sz w:val="22"/>
                <w:szCs w:val="22"/>
                <w:lang w:val="en-US" w:eastAsia="en-GB"/>
              </w:rPr>
              <w:br/>
            </w:r>
            <w:r w:rsidRPr="00292E38">
              <w:rPr>
                <w:sz w:val="22"/>
                <w:szCs w:val="22"/>
                <w:lang w:val="en-US" w:eastAsia="en-GB"/>
              </w:rPr>
              <w:br/>
            </w:r>
            <w:r w:rsidRPr="00292E38">
              <w:rPr>
                <w:sz w:val="22"/>
                <w:szCs w:val="22"/>
                <w:lang w:val="en-US" w:eastAsia="en-GB"/>
              </w:rPr>
              <w:br/>
            </w:r>
            <w:r w:rsidRPr="00292E38">
              <w:rPr>
                <w:sz w:val="22"/>
                <w:szCs w:val="22"/>
                <w:lang w:val="en-US" w:eastAsia="en-GB"/>
              </w:rPr>
              <w:br/>
            </w:r>
            <w:r w:rsidRPr="00292E38">
              <w:rPr>
                <w:sz w:val="22"/>
                <w:szCs w:val="22"/>
                <w:lang w:val="en-US" w:eastAsia="en-GB"/>
              </w:rPr>
              <w:br/>
            </w:r>
            <w:r w:rsidRPr="00292E38">
              <w:rPr>
                <w:sz w:val="22"/>
                <w:szCs w:val="22"/>
                <w:lang w:val="en-US" w:eastAsia="en-GB"/>
              </w:rPr>
              <w:br/>
            </w:r>
            <w:r w:rsidRPr="00292E38">
              <w:rPr>
                <w:sz w:val="22"/>
                <w:szCs w:val="22"/>
                <w:lang w:val="en-US" w:eastAsia="en-GB"/>
              </w:rPr>
              <w:br/>
            </w:r>
            <w:r w:rsidRPr="00292E38">
              <w:rPr>
                <w:sz w:val="22"/>
                <w:szCs w:val="22"/>
                <w:lang w:val="en-US" w:eastAsia="en-GB"/>
              </w:rPr>
              <w:br/>
            </w:r>
            <w:r w:rsidRPr="00292E38">
              <w:rPr>
                <w:sz w:val="22"/>
                <w:szCs w:val="22"/>
                <w:lang w:val="en-US" w:eastAsia="en-GB"/>
              </w:rPr>
              <w:br/>
            </w:r>
            <w:r w:rsidRPr="00292E38">
              <w:rPr>
                <w:sz w:val="22"/>
                <w:szCs w:val="22"/>
                <w:lang w:val="en-US" w:eastAsia="en-GB"/>
              </w:rPr>
              <w:br/>
            </w:r>
            <w:r w:rsidRPr="00292E38">
              <w:rPr>
                <w:sz w:val="22"/>
                <w:szCs w:val="22"/>
                <w:lang w:val="en-US" w:eastAsia="en-GB"/>
              </w:rPr>
              <w:br/>
            </w:r>
            <w:r w:rsidRPr="00292E38">
              <w:rPr>
                <w:sz w:val="22"/>
                <w:szCs w:val="22"/>
                <w:lang w:val="en-US" w:eastAsia="en-GB"/>
              </w:rPr>
              <w:br/>
            </w:r>
            <w:r w:rsidRPr="00292E38">
              <w:rPr>
                <w:sz w:val="22"/>
                <w:szCs w:val="22"/>
                <w:lang w:val="en-US" w:eastAsia="en-GB"/>
              </w:rPr>
              <w:br/>
            </w:r>
            <w:r w:rsidRPr="00292E38">
              <w:rPr>
                <w:sz w:val="22"/>
                <w:szCs w:val="22"/>
                <w:lang w:val="en-US" w:eastAsia="en-GB"/>
              </w:rPr>
              <w:br/>
            </w:r>
            <w:r w:rsidRPr="00292E38">
              <w:rPr>
                <w:sz w:val="22"/>
                <w:szCs w:val="22"/>
                <w:lang w:val="en-US" w:eastAsia="en-GB"/>
              </w:rPr>
              <w:br/>
            </w:r>
            <w:r w:rsidRPr="00292E38">
              <w:rPr>
                <w:sz w:val="22"/>
                <w:szCs w:val="22"/>
                <w:lang w:val="en-US" w:eastAsia="en-GB"/>
              </w:rPr>
              <w:br/>
            </w:r>
            <w:r w:rsidRPr="00292E38">
              <w:rPr>
                <w:sz w:val="22"/>
                <w:szCs w:val="22"/>
                <w:lang w:val="en-US" w:eastAsia="en-GB"/>
              </w:rPr>
              <w:br/>
            </w:r>
            <w:r w:rsidRPr="00292E38">
              <w:rPr>
                <w:sz w:val="22"/>
                <w:szCs w:val="22"/>
                <w:lang w:val="en-US" w:eastAsia="en-GB"/>
              </w:rPr>
              <w:br/>
            </w:r>
            <w:r w:rsidRPr="00292E38">
              <w:rPr>
                <w:sz w:val="22"/>
                <w:szCs w:val="22"/>
                <w:lang w:val="en-US" w:eastAsia="en-GB"/>
              </w:rPr>
              <w:br/>
            </w:r>
            <w:r w:rsidRPr="00292E38">
              <w:rPr>
                <w:sz w:val="22"/>
                <w:szCs w:val="22"/>
                <w:lang w:val="en-US" w:eastAsia="en-GB"/>
              </w:rPr>
              <w:br/>
            </w:r>
            <w:r w:rsidRPr="00292E38">
              <w:rPr>
                <w:sz w:val="22"/>
                <w:szCs w:val="22"/>
                <w:lang w:val="en-US" w:eastAsia="en-GB"/>
              </w:rPr>
              <w:br/>
            </w:r>
            <w:r w:rsidRPr="00292E38">
              <w:rPr>
                <w:sz w:val="22"/>
                <w:szCs w:val="22"/>
                <w:lang w:val="en-US" w:eastAsia="en-GB"/>
              </w:rPr>
              <w:br/>
            </w:r>
            <w:r w:rsidRPr="00292E38">
              <w:rPr>
                <w:sz w:val="22"/>
                <w:szCs w:val="22"/>
                <w:lang w:val="en-US" w:eastAsia="en-GB"/>
              </w:rPr>
              <w:br/>
            </w:r>
          </w:p>
        </w:tc>
      </w:tr>
    </w:tbl>
    <w:p w14:paraId="7C36A9DC" w14:textId="32A70617" w:rsidR="00E0700F" w:rsidRPr="00292E38" w:rsidRDefault="00E0700F" w:rsidP="00292E38">
      <w:pPr>
        <w:rPr>
          <w:rFonts w:ascii="Arial" w:hAnsi="Arial" w:cs="Arial"/>
          <w:sz w:val="22"/>
          <w:szCs w:val="22"/>
        </w:rPr>
      </w:pPr>
    </w:p>
    <w:p w14:paraId="583052AE" w14:textId="77777777" w:rsidR="00292E38" w:rsidRPr="00292E38" w:rsidRDefault="00292E38" w:rsidP="00292E38">
      <w:pPr>
        <w:spacing w:after="120"/>
        <w:rPr>
          <w:rFonts w:ascii="Arial" w:hAnsi="Arial" w:cs="Arial"/>
          <w:sz w:val="22"/>
          <w:szCs w:val="22"/>
        </w:rPr>
      </w:pPr>
      <w:r w:rsidRPr="00292E38">
        <w:rPr>
          <w:rFonts w:ascii="Arial" w:hAnsi="Arial" w:cs="Arial"/>
          <w:b/>
          <w:bCs/>
          <w:sz w:val="22"/>
          <w:szCs w:val="22"/>
        </w:rPr>
        <w:lastRenderedPageBreak/>
        <w:t>Disclosures: Bardin P:</w:t>
      </w:r>
      <w:r w:rsidRPr="00292E38">
        <w:rPr>
          <w:rFonts w:ascii="Arial" w:hAnsi="Arial" w:cs="Arial"/>
          <w:sz w:val="22"/>
          <w:szCs w:val="22"/>
        </w:rPr>
        <w:t xml:space="preserve"> has received honoraria from GSK, AstraZeneca and Sanofi for educational activities.</w:t>
      </w:r>
      <w:r w:rsidRPr="00292E38">
        <w:rPr>
          <w:rFonts w:ascii="Arial" w:hAnsi="Arial" w:cs="Arial"/>
          <w:b/>
          <w:bCs/>
          <w:sz w:val="22"/>
          <w:szCs w:val="22"/>
        </w:rPr>
        <w:t xml:space="preserve"> Bhatt SP</w:t>
      </w:r>
      <w:r w:rsidRPr="00292E38">
        <w:rPr>
          <w:rFonts w:ascii="Arial" w:hAnsi="Arial" w:cs="Arial"/>
          <w:sz w:val="22"/>
          <w:szCs w:val="22"/>
        </w:rPr>
        <w:t xml:space="preserve">: NIH – grant support, Boehringer Ingelheim, Regeneron Pharmaceutical, Inc. – consultant; IntegrityCE – Honorarium. </w:t>
      </w:r>
      <w:r w:rsidRPr="00292E38">
        <w:rPr>
          <w:rFonts w:ascii="Arial" w:hAnsi="Arial" w:cs="Arial"/>
          <w:b/>
          <w:bCs/>
          <w:sz w:val="22"/>
          <w:szCs w:val="22"/>
        </w:rPr>
        <w:t>Rabe KF</w:t>
      </w:r>
      <w:r w:rsidRPr="00292E38">
        <w:rPr>
          <w:rFonts w:ascii="Arial" w:hAnsi="Arial" w:cs="Arial"/>
          <w:sz w:val="22"/>
          <w:szCs w:val="22"/>
        </w:rPr>
        <w:t xml:space="preserve">: AstraZeneca, Boehringer Ingelheim, Chiesi, Gilead, GSK, Novartis, Pearl, Sanofi, Teva – consultant, speaker fees and advisory board member; co-founder of rnatics, Germany. </w:t>
      </w:r>
      <w:r w:rsidRPr="00292E38">
        <w:rPr>
          <w:rFonts w:ascii="Arial" w:hAnsi="Arial" w:cs="Arial"/>
          <w:b/>
          <w:bCs/>
          <w:sz w:val="22"/>
          <w:szCs w:val="22"/>
        </w:rPr>
        <w:t>Hanania NA:</w:t>
      </w:r>
      <w:r w:rsidRPr="00292E38">
        <w:rPr>
          <w:rFonts w:ascii="Arial" w:hAnsi="Arial" w:cs="Arial"/>
          <w:sz w:val="22"/>
          <w:szCs w:val="22"/>
        </w:rPr>
        <w:t xml:space="preserve"> Received honoraria for serving as a consultant or advisor for GSK, Boehringer Ingelheim, Sanofi, Teva, Amgen, Astra Zeneca, Novartis. His institution received research grant support from AstraZeneca, GSK, Sanofi, Genentech, Novartis, and Boehringer Ingelheim. </w:t>
      </w:r>
      <w:r w:rsidRPr="00292E38">
        <w:rPr>
          <w:rFonts w:ascii="Arial" w:hAnsi="Arial" w:cs="Arial"/>
          <w:b/>
          <w:bCs/>
          <w:sz w:val="22"/>
          <w:szCs w:val="22"/>
        </w:rPr>
        <w:t>Vogelmeier C</w:t>
      </w:r>
      <w:r w:rsidRPr="00292E38">
        <w:rPr>
          <w:rFonts w:ascii="Arial" w:hAnsi="Arial" w:cs="Arial"/>
          <w:sz w:val="22"/>
          <w:szCs w:val="22"/>
        </w:rPr>
        <w:t xml:space="preserve">: CV gave presentations at symposia and/or served on scientific advisory boards sponsored by Aerogen, AstraZeneca, Boehringer Ingelheim, Chiesi, CSL Behring, GlaxoSmithKline, Grifols, Insmed, Menarini, Novartis, Nuvaira, Roche, and Sanofi. </w:t>
      </w:r>
      <w:r w:rsidRPr="00292E38">
        <w:rPr>
          <w:rFonts w:ascii="Arial" w:hAnsi="Arial" w:cs="Arial"/>
          <w:b/>
          <w:bCs/>
          <w:sz w:val="22"/>
          <w:szCs w:val="22"/>
        </w:rPr>
        <w:t>Cole J</w:t>
      </w:r>
      <w:r w:rsidRPr="00292E38">
        <w:rPr>
          <w:rFonts w:ascii="Arial" w:hAnsi="Arial" w:cs="Arial"/>
          <w:sz w:val="22"/>
          <w:szCs w:val="22"/>
        </w:rPr>
        <w:t xml:space="preserve">: No disclosures to report. </w:t>
      </w:r>
      <w:r w:rsidRPr="00292E38">
        <w:rPr>
          <w:rFonts w:ascii="Arial" w:hAnsi="Arial" w:cs="Arial"/>
          <w:b/>
          <w:bCs/>
          <w:sz w:val="22"/>
          <w:szCs w:val="22"/>
        </w:rPr>
        <w:t>Bafadhel M:</w:t>
      </w:r>
      <w:r w:rsidRPr="00292E38">
        <w:rPr>
          <w:rFonts w:ascii="Arial" w:hAnsi="Arial" w:cs="Arial"/>
          <w:sz w:val="22"/>
          <w:szCs w:val="22"/>
        </w:rPr>
        <w:t xml:space="preserve"> Grant funding to institution from AstraZeneca and Roche; consultancy and speaker honoraria to institution from AstraZeneca, Chiesi, GSK; scientific advisor to ProAxsis® and AlbusHealth®</w:t>
      </w:r>
      <w:r w:rsidRPr="00292E38">
        <w:rPr>
          <w:rFonts w:ascii="Arial" w:hAnsi="Arial" w:cs="Arial"/>
          <w:b/>
          <w:bCs/>
          <w:sz w:val="22"/>
          <w:szCs w:val="22"/>
        </w:rPr>
        <w:t xml:space="preserve">. Christenson S: </w:t>
      </w:r>
      <w:r w:rsidRPr="00292E38">
        <w:rPr>
          <w:rFonts w:ascii="Arial" w:hAnsi="Arial" w:cs="Arial"/>
          <w:sz w:val="22"/>
          <w:szCs w:val="22"/>
        </w:rPr>
        <w:t>reports grant funding to institution from the National Institutes of Health (NIH) and Merck; consulting fees paid from AstraZeneca, GlaxoSmithKline, and Glenmark Pharmaceuticals; payment and honoraria paid from AstraZeneca, Sanofi/Regeneron, Genentech, and Sunovion; and participation in advisory boards or Data and Safety Monitoring Boards (DSMBs) for AstraZeneca, GlaxoSmithKline, Sanofi/Regeneron, and Glenmark Pharmaceuticals.</w:t>
      </w:r>
      <w:r w:rsidRPr="00292E38">
        <w:rPr>
          <w:rFonts w:ascii="Arial" w:hAnsi="Arial" w:cs="Arial"/>
          <w:b/>
          <w:bCs/>
          <w:sz w:val="22"/>
          <w:szCs w:val="22"/>
        </w:rPr>
        <w:t xml:space="preserve"> Papi A:</w:t>
      </w:r>
      <w:r w:rsidRPr="00292E38">
        <w:rPr>
          <w:rFonts w:ascii="Arial" w:hAnsi="Arial" w:cs="Arial"/>
          <w:sz w:val="22"/>
          <w:szCs w:val="22"/>
        </w:rPr>
        <w:t xml:space="preserve"> Payments to his institution from Chiesi, AstraZeneca, GlaxoSmithKline and Sanofi; consultancy fees from Chiesi, AstraZeneca, GlaxoSmithKline, Novartis, Sanofi, Iqvia, Avillion, and Elpen Pharmaceuticals, and payment or honoraria for lectures, presentations, speakers bureaus, manuscript writing or educational events from Chiesi, AstraZeneca, GlaxoSmithKline, Menarini, Zambon, Mundipharma, Sanofi, Edmond Pharma, Iqvia, MSD, Avillion, and Elpen Pharmaceuticals.</w:t>
      </w:r>
      <w:r w:rsidRPr="00292E38">
        <w:rPr>
          <w:rFonts w:ascii="Arial" w:hAnsi="Arial" w:cs="Arial"/>
          <w:b/>
          <w:bCs/>
          <w:sz w:val="22"/>
          <w:szCs w:val="22"/>
        </w:rPr>
        <w:t>Singh D</w:t>
      </w:r>
      <w:r w:rsidRPr="00292E38">
        <w:rPr>
          <w:rFonts w:ascii="Arial" w:hAnsi="Arial" w:cs="Arial"/>
          <w:sz w:val="22"/>
          <w:szCs w:val="22"/>
        </w:rPr>
        <w:t>: Consultancy fees and honoraria from Aerogen, AstraZeneca, Boehringer Ingelheim, Chiesi, Cipla, CSL Behring, EpiEndo, Genentech, GlaxoSmithKline, Glenmark, Gossamer Bio, Kinaset Therapeutics, Menarini, Novartis, Orion, Pulmatrix, Sanofi, Teva, Theravance Biopharma, and Verona Pharma.</w:t>
      </w:r>
      <w:r w:rsidRPr="00292E38">
        <w:rPr>
          <w:rFonts w:ascii="Arial" w:hAnsi="Arial" w:cs="Arial"/>
          <w:b/>
          <w:bCs/>
          <w:sz w:val="22"/>
          <w:szCs w:val="22"/>
        </w:rPr>
        <w:t>Laws E, Lu X, Bauer D, Robinson L, Moody J, Abdulai R</w:t>
      </w:r>
      <w:r w:rsidRPr="00292E38">
        <w:rPr>
          <w:rFonts w:ascii="Arial" w:hAnsi="Arial" w:cs="Arial"/>
          <w:sz w:val="22"/>
          <w:szCs w:val="22"/>
        </w:rPr>
        <w:t xml:space="preserve">: Sanofi – employees, may hold stock and/or stock options in the company. </w:t>
      </w:r>
      <w:r w:rsidRPr="00292E38">
        <w:rPr>
          <w:rFonts w:ascii="Arial" w:hAnsi="Arial" w:cs="Arial"/>
          <w:b/>
          <w:bCs/>
          <w:sz w:val="22"/>
          <w:szCs w:val="22"/>
        </w:rPr>
        <w:t>Mortensen E, Maloney J, Bansal A:</w:t>
      </w:r>
      <w:r w:rsidRPr="00292E38">
        <w:rPr>
          <w:rFonts w:ascii="Arial" w:hAnsi="Arial" w:cs="Arial"/>
          <w:sz w:val="22"/>
          <w:szCs w:val="22"/>
        </w:rPr>
        <w:t xml:space="preserve"> Regeneron Pharmaceuticals Inc. – employees and shareholders.</w:t>
      </w:r>
    </w:p>
    <w:p w14:paraId="672A2DEA" w14:textId="77777777" w:rsidR="00292E38" w:rsidRDefault="00292E38" w:rsidP="00422B3B"/>
    <w:sectPr w:rsidR="00292E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292E38"/>
    <w:rsid w:val="00422B3B"/>
    <w:rsid w:val="0051574E"/>
    <w:rsid w:val="005471D2"/>
    <w:rsid w:val="00840CB9"/>
    <w:rsid w:val="008803FA"/>
    <w:rsid w:val="008866BD"/>
    <w:rsid w:val="009D35EA"/>
    <w:rsid w:val="00B12E32"/>
    <w:rsid w:val="00DB778C"/>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character" w:styleId="Hyperlink">
    <w:name w:val="Hyperlink"/>
    <w:basedOn w:val="DefaultParagraphFont"/>
    <w:uiPriority w:val="99"/>
    <w:unhideWhenUsed/>
    <w:rsid w:val="009D35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acpjournals.org/doi/10.7326/M22-146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6" ma:contentTypeDescription="Create a new document." ma:contentTypeScope="" ma:versionID="e2b445427de7fdc952c105e35286659b">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37c8f8b798b54af2a8e7107b543b3"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http://schemas.microsoft.com/office/2006/documentManagement/types"/>
    <ds:schemaRef ds:uri="9c8a2b7b-0bee-4c48-b0a6-23db8982d3bc"/>
    <ds:schemaRef ds:uri="http://schemas.microsoft.com/office/2006/metadata/properties"/>
    <ds:schemaRef ds:uri="http://schemas.microsoft.com/office/infopath/2007/PartnerControls"/>
    <ds:schemaRef ds:uri="6911e96c-4cc4-42d5-8e43-f93924cf6a05"/>
    <ds:schemaRef ds:uri="http://purl.org/dc/elements/1.1/"/>
    <ds:schemaRef ds:uri="http://purl.org/dc/dcmitype/"/>
    <ds:schemaRef ds:uri="http://purl.org/dc/terms/"/>
    <ds:schemaRef ds:uri="http://schemas.openxmlformats.org/package/2006/metadata/core-properties"/>
    <ds:schemaRef ds:uri="http://www.w3.org/XML/1998/namespace"/>
    <ds:schemaRef ds:uri="cab52c9b-ab33-4221-8af9-54f8f2b86a80"/>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9E4E03BB-3B94-43A7-A10E-EF4C0ABC6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Chloe Clarke (Excerpta Medica)</cp:lastModifiedBy>
  <cp:revision>8</cp:revision>
  <dcterms:created xsi:type="dcterms:W3CDTF">2023-10-17T11:11:00Z</dcterms:created>
  <dcterms:modified xsi:type="dcterms:W3CDTF">2023-10-18T10:12:00Z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