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3BAEF5B" w:rsidR="001564A4" w:rsidRPr="0050053A" w:rsidRDefault="007411F1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7411F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Co-designing a pre-medical consultation resource to identify and support individuals with breathlessness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7CA52E21" w:rsidR="00E35AB3" w:rsidRPr="0063779A" w:rsidRDefault="00E35AB3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</w:pPr>
            <w:r w:rsidRPr="00E35AB3">
              <w:rPr>
                <w:rFonts w:ascii="Arial" w:hAnsi="Arial" w:cs="Arial"/>
                <w:sz w:val="22"/>
                <w:szCs w:val="22"/>
                <w:lang w:val="en-AU" w:eastAsia="en-GB"/>
              </w:rPr>
              <w:t>Anthony Sunjaya</w:t>
            </w:r>
            <w:r w:rsidR="0063779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E35AB3">
              <w:rPr>
                <w:rFonts w:ascii="Arial" w:hAnsi="Arial" w:cs="Arial"/>
                <w:sz w:val="22"/>
                <w:szCs w:val="22"/>
                <w:lang w:val="en-AU" w:eastAsia="en-GB"/>
              </w:rPr>
              <w:t>, Charlotte Hespe</w:t>
            </w:r>
            <w:r w:rsidR="0063779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</w:t>
            </w:r>
            <w:r w:rsidRPr="00E35AB3">
              <w:rPr>
                <w:rFonts w:ascii="Arial" w:hAnsi="Arial" w:cs="Arial"/>
                <w:sz w:val="22"/>
                <w:szCs w:val="22"/>
                <w:lang w:val="en-AU" w:eastAsia="en-GB"/>
              </w:rPr>
              <w:t>, Zoe McKeough</w:t>
            </w:r>
            <w:r w:rsidR="004D1F70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3</w:t>
            </w:r>
            <w:r w:rsidRPr="00E35AB3">
              <w:rPr>
                <w:rFonts w:ascii="Arial" w:hAnsi="Arial" w:cs="Arial"/>
                <w:sz w:val="22"/>
                <w:szCs w:val="22"/>
                <w:lang w:val="en-AU" w:eastAsia="en-GB"/>
              </w:rPr>
              <w:t>, Ai-Vee Chua</w:t>
            </w:r>
            <w:r w:rsidR="004D1F70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3</w:t>
            </w:r>
            <w:r w:rsidRPr="00E35AB3">
              <w:rPr>
                <w:rFonts w:ascii="Arial" w:hAnsi="Arial" w:cs="Arial"/>
                <w:sz w:val="22"/>
                <w:szCs w:val="22"/>
                <w:lang w:val="en-AU" w:eastAsia="en-GB"/>
              </w:rPr>
              <w:t>, Katrina Giskes</w:t>
            </w:r>
            <w:r w:rsidR="004D1F70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</w:t>
            </w:r>
            <w:r w:rsidRPr="00E35AB3">
              <w:rPr>
                <w:rFonts w:ascii="Arial" w:hAnsi="Arial" w:cs="Arial"/>
                <w:sz w:val="22"/>
                <w:szCs w:val="22"/>
                <w:lang w:val="en-AU" w:eastAsia="en-GB"/>
              </w:rPr>
              <w:t>, Margot Woods</w:t>
            </w:r>
            <w:r w:rsidR="004D1F70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</w:t>
            </w:r>
            <w:r w:rsidRPr="00E35AB3">
              <w:rPr>
                <w:rFonts w:ascii="Arial" w:hAnsi="Arial" w:cs="Arial"/>
                <w:sz w:val="22"/>
                <w:szCs w:val="22"/>
                <w:lang w:val="en-AU" w:eastAsia="en-GB"/>
              </w:rPr>
              <w:t>, Caroline Polak Snowcroft</w:t>
            </w:r>
            <w:r w:rsidR="004D1F70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4</w:t>
            </w:r>
            <w:r w:rsidRPr="00E35AB3">
              <w:rPr>
                <w:rFonts w:ascii="Arial" w:hAnsi="Arial" w:cs="Arial"/>
                <w:sz w:val="22"/>
                <w:szCs w:val="22"/>
                <w:lang w:val="en-AU" w:eastAsia="en-GB"/>
              </w:rPr>
              <w:t>, Maarinke van der Meulen</w:t>
            </w:r>
            <w:r w:rsidR="0099293B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E35AB3">
              <w:rPr>
                <w:rFonts w:ascii="Arial" w:hAnsi="Arial" w:cs="Arial"/>
                <w:sz w:val="22"/>
                <w:szCs w:val="22"/>
                <w:lang w:val="en-AU" w:eastAsia="en-GB"/>
              </w:rPr>
              <w:t>, Hayley Scott</w:t>
            </w:r>
            <w:r w:rsidR="00681BE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5</w:t>
            </w:r>
            <w:r w:rsidRPr="00E35AB3">
              <w:rPr>
                <w:rFonts w:ascii="Arial" w:hAnsi="Arial" w:cs="Arial"/>
                <w:sz w:val="22"/>
                <w:szCs w:val="22"/>
                <w:lang w:val="en-AU" w:eastAsia="en-GB"/>
              </w:rPr>
              <w:t>, David Peiris</w:t>
            </w:r>
            <w:r w:rsidR="0099293B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E35AB3">
              <w:rPr>
                <w:rFonts w:ascii="Arial" w:hAnsi="Arial" w:cs="Arial"/>
                <w:sz w:val="22"/>
                <w:szCs w:val="22"/>
                <w:lang w:val="en-AU" w:eastAsia="en-GB"/>
              </w:rPr>
              <w:t>, Allison Martin</w:t>
            </w:r>
            <w:r w:rsidR="0063779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E35AB3">
              <w:rPr>
                <w:rFonts w:ascii="Arial" w:hAnsi="Arial" w:cs="Arial"/>
                <w:sz w:val="22"/>
                <w:szCs w:val="22"/>
                <w:lang w:val="en-AU" w:eastAsia="en-GB"/>
              </w:rPr>
              <w:t>, Clare Arnott</w:t>
            </w:r>
            <w:r w:rsidR="0099293B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E35AB3">
              <w:rPr>
                <w:rFonts w:ascii="Arial" w:hAnsi="Arial" w:cs="Arial"/>
                <w:sz w:val="22"/>
                <w:szCs w:val="22"/>
                <w:lang w:val="en-AU" w:eastAsia="en-GB"/>
              </w:rPr>
              <w:t>, Guy Marks</w:t>
            </w:r>
            <w:r w:rsidR="00681BE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6</w:t>
            </w:r>
            <w:r w:rsidRPr="00E35AB3">
              <w:rPr>
                <w:rFonts w:ascii="Arial" w:hAnsi="Arial" w:cs="Arial"/>
                <w:sz w:val="22"/>
                <w:szCs w:val="22"/>
                <w:lang w:val="en-AU" w:eastAsia="en-GB"/>
              </w:rPr>
              <w:t>, Christine Jenkins</w:t>
            </w:r>
            <w:r w:rsidR="0063779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54DDD195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3779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 George Institute for Global Health, UNSW Sydney</w:t>
            </w:r>
          </w:p>
          <w:p w14:paraId="3BD815D8" w14:textId="28A04CF8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63779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Notre Dame</w:t>
            </w:r>
          </w:p>
          <w:p w14:paraId="6BCADC27" w14:textId="2C70F46F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4D1F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Sydney</w:t>
            </w:r>
          </w:p>
          <w:p w14:paraId="606CB874" w14:textId="1D1A3124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4D1F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Consumer Representative</w:t>
            </w:r>
          </w:p>
          <w:p w14:paraId="731E76D1" w14:textId="77777777" w:rsidR="0099293B" w:rsidRDefault="0099293B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Newcastle</w:t>
            </w:r>
          </w:p>
          <w:p w14:paraId="45ED36BF" w14:textId="55B43013" w:rsidR="00681BE9" w:rsidRPr="00681BE9" w:rsidRDefault="00681BE9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South West Sydney Clinical School, UNSW Sydney</w:t>
            </w:r>
          </w:p>
        </w:tc>
      </w:tr>
      <w:tr w:rsidR="001564A4" w:rsidRPr="0050053A" w14:paraId="6DAF615A" w14:textId="77777777" w:rsidTr="009E6285">
        <w:trPr>
          <w:trHeight w:hRule="exact" w:val="9649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0053A" w:rsidRDefault="001564A4" w:rsidP="008D3CB6">
            <w:pPr>
              <w:pStyle w:val="Pa12"/>
              <w:jc w:val="both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50F08E86" w14:textId="024E3CD2" w:rsidR="00F50D3D" w:rsidRPr="00F50D3D" w:rsidRDefault="00F50D3D" w:rsidP="008D3CB6">
            <w:pPr>
              <w:pStyle w:val="Pa12"/>
              <w:jc w:val="both"/>
              <w:rPr>
                <w:sz w:val="22"/>
                <w:szCs w:val="22"/>
                <w:lang w:val="en-AU"/>
              </w:rPr>
            </w:pPr>
            <w:r w:rsidRPr="00F50D3D">
              <w:rPr>
                <w:sz w:val="22"/>
                <w:szCs w:val="22"/>
                <w:lang w:val="en-AU"/>
              </w:rPr>
              <w:t xml:space="preserve">Breathlessness is a common symptom in the community but </w:t>
            </w:r>
            <w:r w:rsidR="00EF7EE1">
              <w:rPr>
                <w:sz w:val="22"/>
                <w:szCs w:val="22"/>
                <w:lang w:val="en-AU"/>
              </w:rPr>
              <w:t>underappreciated</w:t>
            </w:r>
            <w:r w:rsidRPr="00F50D3D">
              <w:rPr>
                <w:sz w:val="22"/>
                <w:szCs w:val="22"/>
                <w:lang w:val="en-AU"/>
              </w:rPr>
              <w:t xml:space="preserve"> in practice. This study aimed to co-design a breathlessness pre-consultation resource to support self-awareness, inform and trigger discussion of breathlessness during consultation. </w:t>
            </w:r>
            <w:r w:rsidR="00EF7EE1">
              <w:rPr>
                <w:sz w:val="22"/>
                <w:szCs w:val="22"/>
                <w:lang w:val="en-AU"/>
              </w:rPr>
              <w:t>Our</w:t>
            </w:r>
            <w:r w:rsidRPr="00F50D3D">
              <w:rPr>
                <w:sz w:val="22"/>
                <w:szCs w:val="22"/>
                <w:lang w:val="en-AU"/>
              </w:rPr>
              <w:t xml:space="preserve"> previous systematic review has found no freely available materials which assist patients to initiate a consultation regarding their undiagnosed breathlessness.</w:t>
            </w:r>
          </w:p>
          <w:p w14:paraId="1B39336E" w14:textId="77777777" w:rsidR="001564A4" w:rsidRPr="0050053A" w:rsidRDefault="001564A4" w:rsidP="008D3CB6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0A39F78" w14:textId="45ABE97B" w:rsidR="001564A4" w:rsidRPr="0050053A" w:rsidRDefault="000A767C" w:rsidP="008D3CB6">
            <w:pPr>
              <w:pStyle w:val="Pa12"/>
              <w:jc w:val="both"/>
              <w:rPr>
                <w:sz w:val="22"/>
                <w:szCs w:val="22"/>
              </w:rPr>
            </w:pPr>
            <w:r w:rsidRPr="000A767C">
              <w:rPr>
                <w:sz w:val="22"/>
                <w:szCs w:val="22"/>
              </w:rPr>
              <w:t>This mixed methods study included (1) qualitative in-depth</w:t>
            </w:r>
            <w:r w:rsidRPr="000A767C">
              <w:rPr>
                <w:b/>
                <w:bCs/>
                <w:sz w:val="22"/>
                <w:szCs w:val="22"/>
              </w:rPr>
              <w:t xml:space="preserve"> </w:t>
            </w:r>
            <w:r w:rsidRPr="000A767C">
              <w:rPr>
                <w:sz w:val="22"/>
                <w:szCs w:val="22"/>
                <w:lang w:val="en-AU"/>
              </w:rPr>
              <w:t>interviews with patients and carers experiencing chronic breathlessness from a variety of causes, to understand their needs and receive feedback on existing patient resources relating to major causes of breathlessness (2) co-design process through 7 iterations to refine the content and design of the resource (3) pilot community testing of the developed resource through consumer facing bodies and patient registries.</w:t>
            </w:r>
          </w:p>
          <w:p w14:paraId="6BF3F094" w14:textId="77777777" w:rsidR="001564A4" w:rsidRPr="0050053A" w:rsidRDefault="001564A4" w:rsidP="008D3CB6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46074F22" w14:textId="1B16824E" w:rsidR="008D3CB6" w:rsidRPr="008D3CB6" w:rsidRDefault="008D3CB6" w:rsidP="008D3CB6">
            <w:pPr>
              <w:pStyle w:val="Pa12"/>
              <w:jc w:val="both"/>
              <w:rPr>
                <w:b/>
                <w:bCs/>
                <w:sz w:val="22"/>
                <w:szCs w:val="22"/>
                <w:lang w:val="en-AU"/>
              </w:rPr>
            </w:pPr>
            <w:r w:rsidRPr="008D3CB6">
              <w:rPr>
                <w:sz w:val="22"/>
                <w:szCs w:val="22"/>
              </w:rPr>
              <w:t>Sixty-one</w:t>
            </w:r>
            <w:r w:rsidRPr="008D3CB6">
              <w:rPr>
                <w:sz w:val="22"/>
                <w:szCs w:val="22"/>
                <w:lang w:val="en-GB"/>
              </w:rPr>
              <w:t xml:space="preserve"> consumers, four GPs, three non-GP specialists, two allied health professionals and</w:t>
            </w:r>
            <w:r w:rsidR="00E35AB3">
              <w:rPr>
                <w:sz w:val="22"/>
                <w:szCs w:val="22"/>
                <w:lang w:val="en-GB"/>
              </w:rPr>
              <w:t xml:space="preserve"> T</w:t>
            </w:r>
            <w:r w:rsidRPr="008D3CB6">
              <w:rPr>
                <w:sz w:val="22"/>
                <w:szCs w:val="22"/>
                <w:lang w:val="en-GB"/>
              </w:rPr>
              <w:t>he</w:t>
            </w:r>
            <w:r w:rsidR="00E35AB3">
              <w:rPr>
                <w:sz w:val="22"/>
                <w:szCs w:val="22"/>
                <w:lang w:val="en-GB"/>
              </w:rPr>
              <w:t xml:space="preserve"> George</w:t>
            </w:r>
            <w:r w:rsidRPr="008D3CB6">
              <w:rPr>
                <w:sz w:val="22"/>
                <w:szCs w:val="22"/>
                <w:lang w:val="en-GB"/>
              </w:rPr>
              <w:t xml:space="preserve"> Institute’s Health Communications team contributed to the overall study. </w:t>
            </w:r>
            <w:r w:rsidRPr="008D3CB6">
              <w:rPr>
                <w:sz w:val="22"/>
                <w:szCs w:val="22"/>
                <w:lang w:val="en-AU"/>
              </w:rPr>
              <w:t xml:space="preserve">Participants </w:t>
            </w:r>
            <w:r w:rsidRPr="008D3CB6">
              <w:rPr>
                <w:sz w:val="22"/>
                <w:szCs w:val="22"/>
                <w:lang w:val="en-GB"/>
              </w:rPr>
              <w:t>identified</w:t>
            </w:r>
            <w:r w:rsidRPr="008D3CB6">
              <w:rPr>
                <w:sz w:val="22"/>
                <w:szCs w:val="22"/>
                <w:lang w:val="en-AU"/>
              </w:rPr>
              <w:t xml:space="preserve"> the importance of routine screening in primary care for breathlessness. Participants requested the inclusion of advice on attending a breathlessness appointment and an emphasis to include messaging on not normalising breathlessness. Based on these findings a breathlessness screener and pre-consultation resource was developed via a 7 round (5 for content and 2 design) iterative process with consumers, </w:t>
            </w:r>
            <w:proofErr w:type="gramStart"/>
            <w:r w:rsidRPr="008D3CB6">
              <w:rPr>
                <w:sz w:val="22"/>
                <w:szCs w:val="22"/>
                <w:lang w:val="en-AU"/>
              </w:rPr>
              <w:t>clinicians</w:t>
            </w:r>
            <w:proofErr w:type="gramEnd"/>
            <w:r w:rsidRPr="008D3CB6">
              <w:rPr>
                <w:sz w:val="22"/>
                <w:szCs w:val="22"/>
                <w:lang w:val="en-AU"/>
              </w:rPr>
              <w:t xml:space="preserve"> and health communication experts. The resulting resource underwent pilot community testing with most participants providing a score of ≥8 (of 10) on the content and design of the resource.</w:t>
            </w: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3E8B4283" w14:textId="6AEA5459" w:rsidR="001564A4" w:rsidRPr="009E6285" w:rsidRDefault="00D27541" w:rsidP="000A28E2">
            <w:pPr>
              <w:pStyle w:val="Pa12"/>
              <w:rPr>
                <w:rStyle w:val="A4"/>
                <w:bCs/>
              </w:rPr>
            </w:pPr>
            <w:r w:rsidRPr="00D27541">
              <w:rPr>
                <w:bCs/>
                <w:color w:val="000000"/>
                <w:sz w:val="22"/>
                <w:szCs w:val="22"/>
                <w:lang w:val="en-GB"/>
              </w:rPr>
              <w:t xml:space="preserve">Routine active screening within primary care is needed to identify those with breathlessness early to circumvent stigma and normalisation. A co-designed resource was developed to support breathlessness screening and provide support to initiate a consultation. Pilot community testing showed that most participants found this resource to be easily understood. </w:t>
            </w:r>
            <w:r w:rsidR="001564A4">
              <w:rPr>
                <w:rStyle w:val="A4"/>
                <w:bCs/>
              </w:rPr>
              <w:br/>
            </w:r>
            <w:r w:rsidR="001564A4"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2A95DF7F" w:rsidR="001564A4" w:rsidRDefault="00265953" w:rsidP="00E35AB3">
            <w:pPr>
              <w:pStyle w:val="Default"/>
              <w:rPr>
                <w:sz w:val="22"/>
                <w:szCs w:val="22"/>
              </w:rPr>
            </w:pPr>
            <w:r w:rsidRPr="00265953">
              <w:rPr>
                <w:sz w:val="22"/>
                <w:szCs w:val="22"/>
              </w:rPr>
              <w:t xml:space="preserve">This study was supported by a grant from the Sydney Partnership for Health, Education, Research and Enterprise (SPHERE) Seed Grant. AS </w:t>
            </w:r>
            <w:r>
              <w:rPr>
                <w:sz w:val="22"/>
                <w:szCs w:val="22"/>
              </w:rPr>
              <w:t>wa</w:t>
            </w:r>
            <w:r w:rsidRPr="00265953">
              <w:rPr>
                <w:sz w:val="22"/>
                <w:szCs w:val="22"/>
              </w:rPr>
              <w:t>s supported by a Scientia PhD scholarship from UNSW Sydney.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EC663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A767C"/>
    <w:rsid w:val="001564A4"/>
    <w:rsid w:val="00265953"/>
    <w:rsid w:val="004D1F70"/>
    <w:rsid w:val="0051574E"/>
    <w:rsid w:val="0063779A"/>
    <w:rsid w:val="00681BE9"/>
    <w:rsid w:val="007411F1"/>
    <w:rsid w:val="007B67FF"/>
    <w:rsid w:val="008803FA"/>
    <w:rsid w:val="008D3CB6"/>
    <w:rsid w:val="0099293B"/>
    <w:rsid w:val="009E6285"/>
    <w:rsid w:val="00B12E32"/>
    <w:rsid w:val="00D27541"/>
    <w:rsid w:val="00E0700F"/>
    <w:rsid w:val="00E35AB3"/>
    <w:rsid w:val="00EC6634"/>
    <w:rsid w:val="00EF7EE1"/>
    <w:rsid w:val="00F5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nhideWhenUsed/>
    <w:rsid w:val="00F50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D3D"/>
    <w:pPr>
      <w:spacing w:after="160"/>
    </w:pPr>
    <w:rPr>
      <w:rFonts w:asciiTheme="minorHAnsi" w:eastAsiaTheme="minorEastAsia" w:hAnsiTheme="minorHAnsi" w:cstheme="minorBidi"/>
      <w:sz w:val="20"/>
      <w:szCs w:val="20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D3D"/>
    <w:rPr>
      <w:rFonts w:asciiTheme="minorHAnsi" w:eastAsiaTheme="minorEastAsia" w:hAnsiTheme="minorHAnsi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9c8a2b7b-0bee-4c48-b0a6-23db8982d3bc"/>
    <ds:schemaRef ds:uri="http://schemas.microsoft.com/office/infopath/2007/PartnerControls"/>
    <ds:schemaRef ds:uri="cab52c9b-ab33-4221-8af9-54f8f2b86a80"/>
    <ds:schemaRef ds:uri="6911e96c-4cc4-42d5-8e43-f93924cf6a0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2023-10-20T04:38:00Z</dcterms:created>
  <dcterms:modified xsi:type="dcterms:W3CDTF">2023-10-20T04:38:00Z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