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7"/>
      </w:tblGrid>
      <w:tr w:rsidR="001564A4" w:rsidRPr="0050053A" w14:paraId="5C38377B" w14:textId="77777777" w:rsidTr="003D55CC">
        <w:trPr>
          <w:trHeight w:val="601"/>
          <w:jc w:val="center"/>
        </w:trPr>
        <w:tc>
          <w:tcPr>
            <w:tcW w:w="9487" w:type="dxa"/>
            <w:shd w:val="clear" w:color="auto" w:fill="auto"/>
          </w:tcPr>
          <w:p w14:paraId="5C44F357" w14:textId="7581713F" w:rsidR="001564A4" w:rsidRPr="0050053A" w:rsidRDefault="00680146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Female sex hormones </w:t>
            </w:r>
            <w:r w:rsidR="00493719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modulate asthma severity by altering cellular metabolism</w:t>
            </w:r>
          </w:p>
        </w:tc>
      </w:tr>
      <w:tr w:rsidR="001564A4" w:rsidRPr="0050053A" w14:paraId="0E2E035C" w14:textId="77777777" w:rsidTr="000E16D6">
        <w:trPr>
          <w:trHeight w:val="1369"/>
          <w:jc w:val="center"/>
        </w:trPr>
        <w:tc>
          <w:tcPr>
            <w:tcW w:w="9487" w:type="dxa"/>
            <w:shd w:val="clear" w:color="auto" w:fill="auto"/>
          </w:tcPr>
          <w:p w14:paraId="73B55295" w14:textId="5FAD0C4C" w:rsidR="001564A4" w:rsidRPr="00906D34" w:rsidRDefault="003D214C" w:rsidP="003D214C">
            <w:pPr>
              <w:jc w:val="both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6E32C9">
              <w:rPr>
                <w:rFonts w:ascii="Arial" w:hAnsi="Arial" w:cs="Arial"/>
                <w:b/>
                <w:bCs/>
                <w:sz w:val="22"/>
                <w:szCs w:val="22"/>
              </w:rPr>
              <w:t>Olivia R. Carroll</w:t>
            </w:r>
            <w:r w:rsidRPr="006E32C9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</w:t>
            </w:r>
            <w:r w:rsidRPr="003D214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D5D20" w:rsidRPr="003D214C">
              <w:rPr>
                <w:rFonts w:ascii="Arial" w:hAnsi="Arial" w:cs="Arial"/>
                <w:sz w:val="22"/>
                <w:szCs w:val="22"/>
              </w:rPr>
              <w:t>Alexandra C. Brown</w:t>
            </w:r>
            <w:r w:rsidR="004D5D20" w:rsidRPr="003D214C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="004D5D20" w:rsidRPr="003D214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3D214C">
              <w:rPr>
                <w:rFonts w:ascii="Arial" w:hAnsi="Arial" w:cs="Arial"/>
                <w:sz w:val="22"/>
                <w:szCs w:val="22"/>
              </w:rPr>
              <w:t>Jemma R. Mayall</w:t>
            </w:r>
            <w:r w:rsidRPr="003D214C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3D214C">
              <w:rPr>
                <w:rFonts w:ascii="Arial" w:hAnsi="Arial" w:cs="Arial"/>
                <w:sz w:val="22"/>
                <w:szCs w:val="22"/>
              </w:rPr>
              <w:t>, Nazanin Zounemat-Kermani</w:t>
            </w:r>
            <w:r w:rsidRPr="003D214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D214C">
              <w:rPr>
                <w:rFonts w:ascii="Arial" w:hAnsi="Arial" w:cs="Arial"/>
                <w:sz w:val="22"/>
                <w:szCs w:val="22"/>
              </w:rPr>
              <w:t>, Henry M. Gomez</w:t>
            </w:r>
            <w:r w:rsidRPr="003D214C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3D214C">
              <w:rPr>
                <w:rFonts w:ascii="Arial" w:hAnsi="Arial" w:cs="Arial"/>
                <w:sz w:val="22"/>
                <w:szCs w:val="22"/>
              </w:rPr>
              <w:t>, Samantha L.E. Vinzenz</w:t>
            </w:r>
            <w:r w:rsidRPr="003D214C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3D214C">
              <w:rPr>
                <w:rFonts w:ascii="Arial" w:hAnsi="Arial" w:cs="Arial"/>
                <w:sz w:val="22"/>
                <w:szCs w:val="22"/>
              </w:rPr>
              <w:t>, Richard Y. Kim</w:t>
            </w:r>
            <w:r w:rsidRPr="003D214C">
              <w:rPr>
                <w:rFonts w:ascii="Arial" w:hAnsi="Arial" w:cs="Arial"/>
                <w:sz w:val="22"/>
                <w:szCs w:val="22"/>
                <w:vertAlign w:val="superscript"/>
              </w:rPr>
              <w:t>1,3</w:t>
            </w:r>
            <w:r w:rsidRPr="003D214C">
              <w:rPr>
                <w:rFonts w:ascii="Arial" w:hAnsi="Arial" w:cs="Arial"/>
                <w:sz w:val="22"/>
                <w:szCs w:val="22"/>
              </w:rPr>
              <w:t>, Chantal Donovan</w:t>
            </w:r>
            <w:r w:rsidRPr="003D214C">
              <w:rPr>
                <w:rFonts w:ascii="Arial" w:hAnsi="Arial" w:cs="Arial"/>
                <w:sz w:val="22"/>
                <w:szCs w:val="22"/>
                <w:vertAlign w:val="superscript"/>
              </w:rPr>
              <w:t>1,3</w:t>
            </w:r>
            <w:r w:rsidRPr="003D214C">
              <w:rPr>
                <w:rFonts w:ascii="Arial" w:hAnsi="Arial" w:cs="Arial"/>
                <w:sz w:val="22"/>
                <w:szCs w:val="22"/>
              </w:rPr>
              <w:t>, Katherine J. Baines</w:t>
            </w:r>
            <w:r w:rsidRPr="003D214C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3D214C">
              <w:rPr>
                <w:rFonts w:ascii="Arial" w:hAnsi="Arial" w:cs="Arial"/>
                <w:sz w:val="22"/>
                <w:szCs w:val="22"/>
              </w:rPr>
              <w:t>, Evan J. Williams</w:t>
            </w:r>
            <w:r w:rsidRPr="003D214C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3D214C">
              <w:rPr>
                <w:rFonts w:ascii="Arial" w:hAnsi="Arial" w:cs="Arial"/>
                <w:sz w:val="22"/>
                <w:szCs w:val="22"/>
              </w:rPr>
              <w:t>, Bronwyn S. Berthon</w:t>
            </w:r>
            <w:r w:rsidRPr="003D214C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3D214C">
              <w:rPr>
                <w:rFonts w:ascii="Arial" w:hAnsi="Arial" w:cs="Arial"/>
                <w:sz w:val="22"/>
                <w:szCs w:val="22"/>
              </w:rPr>
              <w:t>, Katie J. Wynne</w:t>
            </w:r>
            <w:r w:rsidRPr="003D214C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3D214C">
              <w:rPr>
                <w:rFonts w:ascii="Arial" w:hAnsi="Arial" w:cs="Arial"/>
                <w:sz w:val="22"/>
                <w:szCs w:val="22"/>
              </w:rPr>
              <w:t>, Hayley A. Scott</w:t>
            </w:r>
            <w:r w:rsidRPr="003D214C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3D214C">
              <w:rPr>
                <w:rFonts w:ascii="Arial" w:hAnsi="Arial" w:cs="Arial"/>
                <w:sz w:val="22"/>
                <w:szCs w:val="22"/>
              </w:rPr>
              <w:t>, James W. Pinkerton</w:t>
            </w:r>
            <w:r w:rsidRPr="003D214C">
              <w:rPr>
                <w:rFonts w:ascii="Arial" w:hAnsi="Arial" w:cs="Arial"/>
                <w:sz w:val="22"/>
                <w:szCs w:val="22"/>
                <w:vertAlign w:val="superscript"/>
              </w:rPr>
              <w:t>4</w:t>
            </w:r>
            <w:r w:rsidRPr="003D214C">
              <w:rPr>
                <w:rFonts w:ascii="Arial" w:hAnsi="Arial" w:cs="Arial"/>
                <w:sz w:val="22"/>
                <w:szCs w:val="22"/>
              </w:rPr>
              <w:t>, Yike Guo</w:t>
            </w:r>
            <w:r w:rsidRPr="003D214C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3D214C">
              <w:rPr>
                <w:rFonts w:ascii="Arial" w:hAnsi="Arial" w:cs="Arial"/>
                <w:sz w:val="22"/>
                <w:szCs w:val="22"/>
              </w:rPr>
              <w:t>, Philip M. Hansbro</w:t>
            </w:r>
            <w:r w:rsidRPr="003D214C">
              <w:rPr>
                <w:rFonts w:ascii="Arial" w:hAnsi="Arial" w:cs="Arial"/>
                <w:sz w:val="22"/>
                <w:szCs w:val="22"/>
                <w:vertAlign w:val="superscript"/>
              </w:rPr>
              <w:t>5</w:t>
            </w:r>
            <w:r w:rsidRPr="003D214C">
              <w:rPr>
                <w:rFonts w:ascii="Arial" w:hAnsi="Arial" w:cs="Arial"/>
                <w:sz w:val="22"/>
                <w:szCs w:val="22"/>
              </w:rPr>
              <w:t>, Paul S. Foster</w:t>
            </w:r>
            <w:r w:rsidRPr="003D214C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3D214C">
              <w:rPr>
                <w:rFonts w:ascii="Arial" w:hAnsi="Arial" w:cs="Arial"/>
                <w:sz w:val="22"/>
                <w:szCs w:val="22"/>
              </w:rPr>
              <w:t>, Peter A.B. Wark</w:t>
            </w:r>
            <w:r w:rsidRPr="003D214C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3D214C">
              <w:rPr>
                <w:rFonts w:ascii="Arial" w:hAnsi="Arial" w:cs="Arial"/>
                <w:sz w:val="22"/>
                <w:szCs w:val="22"/>
              </w:rPr>
              <w:t>, Sven-Erik Dahlen</w:t>
            </w:r>
            <w:r w:rsidRPr="003D214C">
              <w:rPr>
                <w:rFonts w:ascii="Arial" w:hAnsi="Arial" w:cs="Arial"/>
                <w:sz w:val="22"/>
                <w:szCs w:val="22"/>
                <w:vertAlign w:val="superscript"/>
              </w:rPr>
              <w:t>6</w:t>
            </w:r>
            <w:r w:rsidRPr="003D214C">
              <w:rPr>
                <w:rFonts w:ascii="Arial" w:hAnsi="Arial" w:cs="Arial"/>
                <w:sz w:val="22"/>
                <w:szCs w:val="22"/>
              </w:rPr>
              <w:t>, Ian M. Adcock</w:t>
            </w:r>
            <w:r w:rsidRPr="003D214C">
              <w:rPr>
                <w:rFonts w:ascii="Arial" w:hAnsi="Arial" w:cs="Arial"/>
                <w:sz w:val="22"/>
                <w:szCs w:val="22"/>
                <w:vertAlign w:val="superscript"/>
              </w:rPr>
              <w:t>7</w:t>
            </w:r>
            <w:r w:rsidRPr="003D214C">
              <w:rPr>
                <w:rFonts w:ascii="Arial" w:hAnsi="Arial" w:cs="Arial"/>
                <w:sz w:val="22"/>
                <w:szCs w:val="22"/>
              </w:rPr>
              <w:t>, Lisa G. Wood</w:t>
            </w:r>
            <w:r w:rsidRPr="003D214C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3D214C">
              <w:rPr>
                <w:rFonts w:ascii="Arial" w:hAnsi="Arial" w:cs="Arial"/>
                <w:sz w:val="22"/>
                <w:szCs w:val="22"/>
              </w:rPr>
              <w:t>, Jay C. Horvat</w:t>
            </w:r>
            <w:r w:rsidRPr="003D214C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</w:p>
        </w:tc>
      </w:tr>
      <w:tr w:rsidR="001564A4" w:rsidRPr="0050053A" w14:paraId="385A19D9" w14:textId="77777777" w:rsidTr="000E16D6">
        <w:trPr>
          <w:trHeight w:val="2678"/>
          <w:jc w:val="center"/>
        </w:trPr>
        <w:tc>
          <w:tcPr>
            <w:tcW w:w="9487" w:type="dxa"/>
            <w:shd w:val="clear" w:color="auto" w:fill="auto"/>
          </w:tcPr>
          <w:p w14:paraId="45ED36BF" w14:textId="7F322A69" w:rsidR="001564A4" w:rsidRPr="00906D34" w:rsidRDefault="00CC4632" w:rsidP="00906D34">
            <w:pPr>
              <w:rPr>
                <w:rFonts w:ascii="Arial" w:hAnsi="Arial" w:cs="Arial"/>
                <w:sz w:val="22"/>
                <w:szCs w:val="22"/>
              </w:rPr>
            </w:pPr>
            <w:r w:rsidRPr="00CC4632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</w:t>
            </w:r>
            <w:r w:rsidRPr="00CC4632">
              <w:rPr>
                <w:rFonts w:ascii="Arial" w:eastAsia="Calibri" w:hAnsi="Arial" w:cs="Arial"/>
                <w:color w:val="000000"/>
                <w:sz w:val="22"/>
                <w:szCs w:val="22"/>
              </w:rPr>
              <w:t>University of Newcastle and Immune Health Program, Hunter Medical Research Institute  Newcastle, New South Wales, Australia</w:t>
            </w:r>
            <w:r w:rsidRPr="00CC463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CC4632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CC4632">
              <w:rPr>
                <w:rFonts w:ascii="Arial" w:hAnsi="Arial" w:cs="Arial"/>
                <w:sz w:val="22"/>
                <w:szCs w:val="22"/>
              </w:rPr>
              <w:t xml:space="preserve">The Data Science Institute, Department of Computing, Imperial College London,  United Kingdom, </w:t>
            </w:r>
            <w:r w:rsidRPr="00CC4632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</w:t>
            </w:r>
            <w:r w:rsidRPr="00CC4632">
              <w:rPr>
                <w:rFonts w:ascii="Arial" w:eastAsia="Calibri" w:hAnsi="Arial" w:cs="Arial"/>
                <w:color w:val="000000"/>
                <w:sz w:val="22"/>
                <w:szCs w:val="22"/>
              </w:rPr>
              <w:t>School of Life Sciences, Faculty of Science, University of Technology Sydney, Sydney, New South Wales, Australia</w:t>
            </w:r>
            <w:r w:rsidRPr="00CC463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CC4632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vertAlign w:val="superscript"/>
              </w:rPr>
              <w:t>4</w:t>
            </w:r>
            <w:r w:rsidRPr="00CC4632">
              <w:rPr>
                <w:rFonts w:ascii="Arial" w:eastAsia="Calibri" w:hAnsi="Arial" w:cs="Arial"/>
                <w:color w:val="000000"/>
                <w:sz w:val="22"/>
                <w:szCs w:val="22"/>
              </w:rPr>
              <w:t>Respiratory Pharmacology &amp; Toxicology Group, National Heart &amp; Lung Institute, Imperial College London, London, United Kingdom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, </w:t>
            </w:r>
            <w:r w:rsidRPr="00CC4632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</w:t>
            </w:r>
            <w:r w:rsidRPr="00CC4632">
              <w:rPr>
                <w:rFonts w:ascii="Arial" w:eastAsia="Calibri" w:hAnsi="Arial" w:cs="Arial"/>
                <w:color w:val="000000"/>
                <w:sz w:val="22"/>
                <w:szCs w:val="22"/>
              </w:rPr>
              <w:t>Centre for Inflammation, Centenary Institute, and Faculty of Science, University of Technology Sydney, Sydney, New South Wales, Australia</w:t>
            </w:r>
            <w:r w:rsidRPr="00CC4632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4632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6</w:t>
            </w:r>
            <w:r w:rsidRPr="00CC4632">
              <w:rPr>
                <w:rFonts w:ascii="Arial" w:hAnsi="Arial" w:cs="Arial"/>
                <w:sz w:val="22"/>
                <w:szCs w:val="22"/>
              </w:rPr>
              <w:t xml:space="preserve">Experimental Asthma and Allergy Research, The National Institute of Environmental Medicine, Karolinska </w:t>
            </w:r>
            <w:proofErr w:type="spellStart"/>
            <w:r w:rsidRPr="00CC4632">
              <w:rPr>
                <w:rFonts w:ascii="Arial" w:hAnsi="Arial" w:cs="Arial"/>
                <w:sz w:val="22"/>
                <w:szCs w:val="22"/>
              </w:rPr>
              <w:t>Institutet</w:t>
            </w:r>
            <w:proofErr w:type="spellEnd"/>
            <w:r w:rsidRPr="00CC4632">
              <w:rPr>
                <w:rFonts w:ascii="Arial" w:hAnsi="Arial" w:cs="Arial"/>
                <w:sz w:val="22"/>
                <w:szCs w:val="22"/>
              </w:rPr>
              <w:t xml:space="preserve">, Stockholm, Sweden, </w:t>
            </w:r>
            <w:r w:rsidRPr="00CC4632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7</w:t>
            </w:r>
            <w:r w:rsidRPr="00CC4632">
              <w:rPr>
                <w:rFonts w:ascii="Arial" w:hAnsi="Arial" w:cs="Arial"/>
                <w:sz w:val="22"/>
                <w:szCs w:val="22"/>
              </w:rPr>
              <w:t>The Airway Disease Section, National Heart &amp; Lung Institute, Imperial College London, London, United Kingdom</w:t>
            </w:r>
          </w:p>
        </w:tc>
      </w:tr>
      <w:tr w:rsidR="001564A4" w:rsidRPr="0050053A" w14:paraId="6DAF615A" w14:textId="77777777" w:rsidTr="003D55CC">
        <w:trPr>
          <w:trHeight w:hRule="exact" w:val="8979"/>
          <w:jc w:val="center"/>
        </w:trPr>
        <w:tc>
          <w:tcPr>
            <w:tcW w:w="9487" w:type="dxa"/>
            <w:shd w:val="clear" w:color="auto" w:fill="auto"/>
          </w:tcPr>
          <w:p w14:paraId="717AEB60" w14:textId="01E26DE9" w:rsidR="00962C82" w:rsidRDefault="00962C82" w:rsidP="00962C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2C82">
              <w:rPr>
                <w:rFonts w:ascii="Arial" w:hAnsi="Arial" w:cs="Arial"/>
                <w:b/>
                <w:bCs/>
                <w:sz w:val="22"/>
                <w:szCs w:val="22"/>
              </w:rPr>
              <w:t>Introduction/Aim:</w:t>
            </w:r>
            <w:r w:rsidRPr="00962C82">
              <w:rPr>
                <w:rFonts w:ascii="Arial" w:hAnsi="Arial" w:cs="Arial"/>
                <w:sz w:val="22"/>
                <w:szCs w:val="22"/>
              </w:rPr>
              <w:t xml:space="preserve"> Adult females are disproportionately affected by asthma. Many pre-menopausal females experience worsened asthma during the late-luteal and </w:t>
            </w:r>
            <w:proofErr w:type="gramStart"/>
            <w:r w:rsidRPr="00962C82">
              <w:rPr>
                <w:rFonts w:ascii="Arial" w:hAnsi="Arial" w:cs="Arial"/>
                <w:sz w:val="22"/>
                <w:szCs w:val="22"/>
              </w:rPr>
              <w:t>early-follicular</w:t>
            </w:r>
            <w:proofErr w:type="gramEnd"/>
            <w:r w:rsidRPr="00962C82">
              <w:rPr>
                <w:rFonts w:ascii="Arial" w:hAnsi="Arial" w:cs="Arial"/>
                <w:sz w:val="22"/>
                <w:szCs w:val="22"/>
              </w:rPr>
              <w:t xml:space="preserve"> phases of the menstrual cycle. Females using an oral contraceptive pill (OCP), which controls fluctuations in female sex hormones, have improved asthma, whilst females using </w:t>
            </w:r>
            <w:proofErr w:type="spellStart"/>
            <w:r w:rsidRPr="00962C82">
              <w:rPr>
                <w:rFonts w:ascii="Arial" w:hAnsi="Arial" w:cs="Arial"/>
                <w:sz w:val="22"/>
                <w:szCs w:val="22"/>
              </w:rPr>
              <w:t>estrogen</w:t>
            </w:r>
            <w:proofErr w:type="spellEnd"/>
            <w:r w:rsidRPr="00962C82">
              <w:rPr>
                <w:rFonts w:ascii="Arial" w:hAnsi="Arial" w:cs="Arial"/>
                <w:sz w:val="22"/>
                <w:szCs w:val="22"/>
              </w:rPr>
              <w:t>-based menopausal hormone therapy have more severe disease. I</w:t>
            </w:r>
            <w:r w:rsidR="00493719">
              <w:rPr>
                <w:rFonts w:ascii="Arial" w:hAnsi="Arial" w:cs="Arial"/>
                <w:sz w:val="22"/>
                <w:szCs w:val="22"/>
              </w:rPr>
              <w:t>n</w:t>
            </w:r>
            <w:r w:rsidRPr="00962C82">
              <w:rPr>
                <w:rFonts w:ascii="Arial" w:hAnsi="Arial" w:cs="Arial"/>
                <w:sz w:val="22"/>
                <w:szCs w:val="22"/>
              </w:rPr>
              <w:t xml:space="preserve"> this study we sought to investigate the relationship between female sex hormones, cellular </w:t>
            </w:r>
            <w:proofErr w:type="gramStart"/>
            <w:r w:rsidRPr="00962C82">
              <w:rPr>
                <w:rFonts w:ascii="Arial" w:hAnsi="Arial" w:cs="Arial"/>
                <w:sz w:val="22"/>
                <w:szCs w:val="22"/>
              </w:rPr>
              <w:t>metabolism</w:t>
            </w:r>
            <w:proofErr w:type="gramEnd"/>
            <w:r w:rsidRPr="00962C82">
              <w:rPr>
                <w:rFonts w:ascii="Arial" w:hAnsi="Arial" w:cs="Arial"/>
                <w:sz w:val="22"/>
                <w:szCs w:val="22"/>
              </w:rPr>
              <w:t xml:space="preserve"> and asthma severity, and determine whether hormone-mediated effects on metabolism can be harnessed therapeutically. </w:t>
            </w:r>
          </w:p>
          <w:p w14:paraId="662AF713" w14:textId="77777777" w:rsidR="00680146" w:rsidRPr="00962C82" w:rsidRDefault="00680146" w:rsidP="00962C82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13A4A981" w14:textId="77777777" w:rsidR="00962C82" w:rsidRDefault="00962C82" w:rsidP="00962C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2C82">
              <w:rPr>
                <w:rFonts w:ascii="Arial" w:hAnsi="Arial" w:cs="Arial"/>
                <w:b/>
                <w:bCs/>
                <w:sz w:val="22"/>
                <w:szCs w:val="22"/>
              </w:rPr>
              <w:t>Methods:</w:t>
            </w:r>
            <w:r w:rsidRPr="00962C82">
              <w:rPr>
                <w:rFonts w:ascii="Arial" w:hAnsi="Arial" w:cs="Arial"/>
                <w:sz w:val="22"/>
                <w:szCs w:val="22"/>
              </w:rPr>
              <w:t xml:space="preserve"> We assessed the effects of </w:t>
            </w:r>
            <w:proofErr w:type="spellStart"/>
            <w:r w:rsidRPr="00962C82">
              <w:rPr>
                <w:rFonts w:ascii="Arial" w:hAnsi="Arial" w:cs="Arial"/>
                <w:sz w:val="22"/>
                <w:szCs w:val="22"/>
              </w:rPr>
              <w:t>estradiol</w:t>
            </w:r>
            <w:proofErr w:type="spellEnd"/>
            <w:r w:rsidRPr="00962C82">
              <w:rPr>
                <w:rFonts w:ascii="Arial" w:hAnsi="Arial" w:cs="Arial"/>
                <w:sz w:val="22"/>
                <w:szCs w:val="22"/>
              </w:rPr>
              <w:t xml:space="preserve">, depot-medroxyprogesterone acetate (DMPA), oral </w:t>
            </w:r>
            <w:proofErr w:type="spellStart"/>
            <w:r w:rsidRPr="00962C82">
              <w:rPr>
                <w:rFonts w:ascii="Arial" w:hAnsi="Arial" w:cs="Arial"/>
                <w:sz w:val="22"/>
                <w:szCs w:val="22"/>
              </w:rPr>
              <w:t>ethinylestradiol</w:t>
            </w:r>
            <w:proofErr w:type="spellEnd"/>
            <w:r w:rsidRPr="00962C82">
              <w:rPr>
                <w:rFonts w:ascii="Arial" w:hAnsi="Arial" w:cs="Arial"/>
                <w:sz w:val="22"/>
                <w:szCs w:val="22"/>
              </w:rPr>
              <w:t>/levonorgestrel (representing combined OCP), NLRP3 inflammasome and glucose targeting treatments on key features of disease and expression of metabolism-associated genes in experimental asthma. The effects of the OCP on asthma outcomes, and relationships between female sex hormone receptor and type 2 (T2) and non-T2 cytokine and metabolism-associated gene expression, were also assessed in subjects with asthma.</w:t>
            </w:r>
          </w:p>
          <w:p w14:paraId="7E9095FC" w14:textId="77777777" w:rsidR="00680146" w:rsidRPr="00962C82" w:rsidRDefault="00680146" w:rsidP="00962C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07756F" w14:textId="77777777" w:rsidR="00962C82" w:rsidRDefault="00962C82" w:rsidP="00962C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2C82">
              <w:rPr>
                <w:rFonts w:ascii="Arial" w:hAnsi="Arial" w:cs="Arial"/>
                <w:b/>
                <w:bCs/>
                <w:sz w:val="22"/>
                <w:szCs w:val="22"/>
              </w:rPr>
              <w:t>Results:</w:t>
            </w:r>
            <w:r w:rsidRPr="00962C8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62C82">
              <w:rPr>
                <w:rFonts w:ascii="Arial" w:hAnsi="Arial" w:cs="Arial"/>
                <w:sz w:val="22"/>
                <w:szCs w:val="22"/>
              </w:rPr>
              <w:t>Estradiol</w:t>
            </w:r>
            <w:proofErr w:type="spellEnd"/>
            <w:r w:rsidRPr="00962C82">
              <w:rPr>
                <w:rFonts w:ascii="Arial" w:hAnsi="Arial" w:cs="Arial"/>
                <w:sz w:val="22"/>
                <w:szCs w:val="22"/>
              </w:rPr>
              <w:t xml:space="preserve"> treatment promotes severe disease associated with NLRP3 inflammasome and neutrophilic inflammatory responses, whilst DMPA and OCP interventions reduce T2 responses and disease, in experimental asthma. Importantly, 17β-</w:t>
            </w:r>
            <w:proofErr w:type="spellStart"/>
            <w:r w:rsidRPr="00962C82">
              <w:rPr>
                <w:rFonts w:ascii="Arial" w:hAnsi="Arial" w:cs="Arial"/>
                <w:sz w:val="22"/>
                <w:szCs w:val="22"/>
              </w:rPr>
              <w:t>estradiol</w:t>
            </w:r>
            <w:proofErr w:type="spellEnd"/>
            <w:r w:rsidRPr="00962C82">
              <w:rPr>
                <w:rFonts w:ascii="Arial" w:hAnsi="Arial" w:cs="Arial"/>
                <w:sz w:val="22"/>
                <w:szCs w:val="22"/>
              </w:rPr>
              <w:t xml:space="preserve"> increases, whilst DMPA and OCP decrease, lung expression of the glucose transporter GLUT1. Targeting GLUT1 (via BAY876), or NLRP3 responses (via MCC950) protects against features of </w:t>
            </w:r>
            <w:proofErr w:type="spellStart"/>
            <w:r w:rsidRPr="00962C82">
              <w:rPr>
                <w:rFonts w:ascii="Arial" w:hAnsi="Arial" w:cs="Arial"/>
                <w:sz w:val="22"/>
                <w:szCs w:val="22"/>
              </w:rPr>
              <w:t>estradiol</w:t>
            </w:r>
            <w:proofErr w:type="spellEnd"/>
            <w:r w:rsidRPr="00962C82">
              <w:rPr>
                <w:rFonts w:ascii="Arial" w:hAnsi="Arial" w:cs="Arial"/>
                <w:sz w:val="22"/>
                <w:szCs w:val="22"/>
              </w:rPr>
              <w:t xml:space="preserve">-induced severe experimental asthma. Importantly, OCP use is associated with lower T2 cytokine and GLUT1 expression, and GLUT1 expression positively correlates with </w:t>
            </w:r>
            <w:proofErr w:type="spellStart"/>
            <w:r w:rsidRPr="00962C82">
              <w:rPr>
                <w:rFonts w:ascii="Arial" w:hAnsi="Arial" w:cs="Arial"/>
                <w:sz w:val="22"/>
                <w:szCs w:val="22"/>
              </w:rPr>
              <w:t>estradiol</w:t>
            </w:r>
            <w:proofErr w:type="spellEnd"/>
            <w:r w:rsidRPr="00962C82">
              <w:rPr>
                <w:rFonts w:ascii="Arial" w:hAnsi="Arial" w:cs="Arial"/>
                <w:sz w:val="22"/>
                <w:szCs w:val="22"/>
              </w:rPr>
              <w:t xml:space="preserve"> receptor expression and T2 as well as non-T2 responses, in the sputum of asthmatics. </w:t>
            </w:r>
          </w:p>
          <w:p w14:paraId="4BC805E1" w14:textId="77777777" w:rsidR="00680146" w:rsidRPr="00962C82" w:rsidRDefault="00680146" w:rsidP="00962C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30E64F" w14:textId="77777777" w:rsidR="00962C82" w:rsidRDefault="00962C82" w:rsidP="00962C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2C82">
              <w:rPr>
                <w:rFonts w:ascii="Arial" w:hAnsi="Arial" w:cs="Arial"/>
                <w:b/>
                <w:bCs/>
                <w:sz w:val="22"/>
                <w:szCs w:val="22"/>
              </w:rPr>
              <w:t>Conclusions:</w:t>
            </w:r>
            <w:r w:rsidRPr="00962C82">
              <w:rPr>
                <w:rFonts w:ascii="Arial" w:hAnsi="Arial" w:cs="Arial"/>
                <w:sz w:val="22"/>
                <w:szCs w:val="22"/>
              </w:rPr>
              <w:t xml:space="preserve"> Female sex hormones affect the immunopathogenesis of asthma by modifying metabolism. These data highlight the potential for harnessing sex hormone-mediated effects on metabolism and NLRP3-mediated responses for the improved control of asthma, particularly in severe asthma.</w:t>
            </w:r>
          </w:p>
          <w:p w14:paraId="4BCC33E0" w14:textId="77777777" w:rsidR="00680146" w:rsidRPr="00962C82" w:rsidRDefault="00680146" w:rsidP="00962C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004D61" w14:textId="1608E231" w:rsidR="00962C82" w:rsidRPr="00962C82" w:rsidRDefault="00962C82" w:rsidP="00962C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0146">
              <w:rPr>
                <w:rFonts w:ascii="Arial" w:hAnsi="Arial" w:cs="Arial"/>
                <w:b/>
                <w:bCs/>
                <w:sz w:val="22"/>
                <w:szCs w:val="22"/>
              </w:rPr>
              <w:t>Grant Support:</w:t>
            </w:r>
            <w:r w:rsidRPr="00962C82">
              <w:rPr>
                <w:rFonts w:ascii="Arial" w:hAnsi="Arial" w:cs="Arial"/>
                <w:sz w:val="22"/>
                <w:szCs w:val="22"/>
              </w:rPr>
              <w:t xml:space="preserve"> PRC Healthy Lungs, Edith Ethel</w:t>
            </w:r>
            <w:r>
              <w:rPr>
                <w:rFonts w:ascii="Arial" w:hAnsi="Arial" w:cs="Arial"/>
                <w:sz w:val="22"/>
                <w:szCs w:val="22"/>
              </w:rPr>
              <w:t xml:space="preserve"> Ward Perpetual PhD </w:t>
            </w:r>
            <w:r w:rsidR="00680146">
              <w:rPr>
                <w:rFonts w:ascii="Arial" w:hAnsi="Arial" w:cs="Arial"/>
                <w:sz w:val="22"/>
                <w:szCs w:val="22"/>
              </w:rPr>
              <w:t xml:space="preserve">top up </w:t>
            </w:r>
            <w:proofErr w:type="gramStart"/>
            <w:r w:rsidR="00680146">
              <w:rPr>
                <w:rFonts w:ascii="Arial" w:hAnsi="Arial" w:cs="Arial"/>
                <w:sz w:val="22"/>
                <w:szCs w:val="22"/>
              </w:rPr>
              <w:t>scholarship</w:t>
            </w:r>
            <w:proofErr w:type="gramEnd"/>
          </w:p>
          <w:p w14:paraId="5F58D34F" w14:textId="4FE3CEA2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</w:p>
        </w:tc>
      </w:tr>
    </w:tbl>
    <w:p w14:paraId="7C36A9DC" w14:textId="32A70617" w:rsidR="00E0700F" w:rsidRDefault="00E0700F" w:rsidP="001564A4"/>
    <w:sectPr w:rsidR="00E0700F" w:rsidSect="00906D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91910"/>
    <w:rsid w:val="000E16D6"/>
    <w:rsid w:val="00115DD5"/>
    <w:rsid w:val="001564A4"/>
    <w:rsid w:val="001C0D0E"/>
    <w:rsid w:val="00286CDE"/>
    <w:rsid w:val="003D214C"/>
    <w:rsid w:val="003D55CC"/>
    <w:rsid w:val="003E5068"/>
    <w:rsid w:val="00493719"/>
    <w:rsid w:val="004D5D20"/>
    <w:rsid w:val="00514008"/>
    <w:rsid w:val="0051574E"/>
    <w:rsid w:val="005C72FD"/>
    <w:rsid w:val="006209E7"/>
    <w:rsid w:val="00680146"/>
    <w:rsid w:val="006E2A90"/>
    <w:rsid w:val="006E32C9"/>
    <w:rsid w:val="00821301"/>
    <w:rsid w:val="008803FA"/>
    <w:rsid w:val="00906D34"/>
    <w:rsid w:val="00962C82"/>
    <w:rsid w:val="00B12E32"/>
    <w:rsid w:val="00C90D37"/>
    <w:rsid w:val="00C97455"/>
    <w:rsid w:val="00CC4632"/>
    <w:rsid w:val="00D2227C"/>
    <w:rsid w:val="00E0700F"/>
    <w:rsid w:val="00E94D44"/>
    <w:rsid w:val="00F23061"/>
    <w:rsid w:val="00F6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1C0D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0D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0D0E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D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D0E"/>
    <w:rPr>
      <w:rFonts w:ascii="Times New Roman" w:eastAsia="Times New Roman" w:hAnsi="Times New Roman" w:cs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Olivia Carroll</cp:lastModifiedBy>
  <cp:revision>17</cp:revision>
  <dcterms:created xsi:type="dcterms:W3CDTF">2023-10-18T04:02:00Z</dcterms:created>
  <dcterms:modified xsi:type="dcterms:W3CDTF">2023-10-19T00:15:00Z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