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F9A5" w14:textId="77777777" w:rsidR="005018BC" w:rsidRDefault="005018BC" w:rsidP="005018BC">
      <w:pPr>
        <w:pStyle w:val="NoSpacing"/>
        <w:rPr>
          <w:rFonts w:ascii="Arial" w:hAnsi="Arial" w:cs="Arial"/>
          <w:b/>
          <w:bCs/>
        </w:rPr>
      </w:pPr>
    </w:p>
    <w:p w14:paraId="41BB3623" w14:textId="77777777" w:rsidR="005018BC" w:rsidRDefault="005018BC" w:rsidP="005018BC">
      <w:pPr>
        <w:pStyle w:val="NoSpacing"/>
        <w:rPr>
          <w:rFonts w:ascii="Arial" w:hAnsi="Arial" w:cs="Arial"/>
          <w:b/>
          <w:bCs/>
        </w:rPr>
      </w:pPr>
    </w:p>
    <w:p w14:paraId="1B349BAF" w14:textId="1A8A2BB3" w:rsidR="00FF0481" w:rsidRPr="005018BC" w:rsidRDefault="00FF0481" w:rsidP="005018BC">
      <w:pPr>
        <w:pStyle w:val="NoSpacing"/>
        <w:rPr>
          <w:rFonts w:ascii="Arial" w:hAnsi="Arial" w:cs="Arial"/>
          <w:b/>
          <w:bCs/>
        </w:rPr>
      </w:pPr>
      <w:r w:rsidRPr="005018BC">
        <w:rPr>
          <w:rFonts w:ascii="Arial" w:hAnsi="Arial" w:cs="Arial"/>
          <w:b/>
          <w:bCs/>
        </w:rPr>
        <w:t xml:space="preserve">Title: Primary care models facilitating type 2 diabetes remission: a systematic review </w:t>
      </w:r>
    </w:p>
    <w:p w14:paraId="4C45432B" w14:textId="77777777" w:rsidR="00FF0481" w:rsidRPr="005018BC" w:rsidRDefault="00FF0481" w:rsidP="005018BC">
      <w:pPr>
        <w:pStyle w:val="NoSpacing"/>
        <w:rPr>
          <w:rFonts w:ascii="Arial" w:hAnsi="Arial" w:cs="Arial"/>
          <w:b/>
          <w:bCs/>
        </w:rPr>
      </w:pPr>
      <w:r w:rsidRPr="005018BC">
        <w:rPr>
          <w:rFonts w:ascii="Arial" w:hAnsi="Arial" w:cs="Arial"/>
          <w:b/>
          <w:bCs/>
        </w:rPr>
        <w:t xml:space="preserve">and narrative synthesis of operational elements </w:t>
      </w:r>
    </w:p>
    <w:p w14:paraId="5FF6EE9A" w14:textId="6D58E3B4" w:rsidR="00437F98" w:rsidRPr="005018BC" w:rsidRDefault="00437F98" w:rsidP="005018BC">
      <w:pPr>
        <w:spacing w:line="240" w:lineRule="auto"/>
        <w:rPr>
          <w:rFonts w:ascii="Arial" w:hAnsi="Arial" w:cs="Arial"/>
        </w:rPr>
      </w:pPr>
      <w:r w:rsidRPr="005018BC">
        <w:rPr>
          <w:rFonts w:ascii="Arial" w:hAnsi="Arial" w:cs="Arial"/>
          <w:b/>
          <w:bCs/>
          <w:lang w:val="en-US"/>
        </w:rPr>
        <w:br/>
      </w:r>
      <w:r w:rsidR="00FF0481" w:rsidRPr="005018BC">
        <w:rPr>
          <w:rFonts w:ascii="Arial" w:hAnsi="Arial" w:cs="Arial"/>
          <w:b/>
          <w:bCs/>
          <w:lang w:val="en-US"/>
        </w:rPr>
        <w:t>Background</w:t>
      </w:r>
      <w:r w:rsidR="00FF0481" w:rsidRPr="005018BC">
        <w:rPr>
          <w:rFonts w:ascii="Arial" w:hAnsi="Arial" w:cs="Arial"/>
          <w:i/>
          <w:iCs/>
          <w:lang w:val="en-US"/>
        </w:rPr>
        <w:t>:</w:t>
      </w:r>
      <w:r w:rsidR="00FF0481" w:rsidRPr="005018BC">
        <w:rPr>
          <w:rFonts w:ascii="Arial" w:hAnsi="Arial" w:cs="Arial"/>
          <w:lang w:val="en-US"/>
        </w:rPr>
        <w:t xml:space="preserve"> </w:t>
      </w:r>
      <w:r w:rsidR="00FF0481" w:rsidRPr="005018BC">
        <w:rPr>
          <w:rFonts w:ascii="Arial" w:hAnsi="Arial" w:cs="Arial"/>
        </w:rPr>
        <w:t>Evidence shows that T2DM remission can be achieved through lifestyle modification</w:t>
      </w:r>
      <w:r w:rsidRPr="005018BC">
        <w:rPr>
          <w:rFonts w:ascii="Arial" w:hAnsi="Arial" w:cs="Arial"/>
        </w:rPr>
        <w:t>; however, remission in routine primary care is uncommon.</w:t>
      </w:r>
      <w:r w:rsidRPr="005018B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5018BC">
        <w:rPr>
          <w:rFonts w:ascii="Arial" w:hAnsi="Arial" w:cs="Arial"/>
        </w:rPr>
        <w:t xml:space="preserve">The dietary interventions and clinical characteristics of people most likely to achieve remission have been defined but less is known about the operational aspects of care that improve implementation of </w:t>
      </w:r>
      <w:r w:rsidR="00B4336D" w:rsidRPr="005018BC">
        <w:rPr>
          <w:rFonts w:ascii="Arial" w:hAnsi="Arial" w:cs="Arial"/>
        </w:rPr>
        <w:t>effective</w:t>
      </w:r>
      <w:r w:rsidRPr="005018BC">
        <w:rPr>
          <w:rFonts w:ascii="Arial" w:hAnsi="Arial" w:cs="Arial"/>
        </w:rPr>
        <w:t xml:space="preserve"> lifestyle modifications. </w:t>
      </w:r>
    </w:p>
    <w:p w14:paraId="75D37C5D" w14:textId="500F4AA3" w:rsidR="00FF0481" w:rsidRPr="005018BC" w:rsidRDefault="00FF0481" w:rsidP="005018BC">
      <w:pPr>
        <w:spacing w:line="240" w:lineRule="auto"/>
        <w:rPr>
          <w:rFonts w:ascii="Arial" w:hAnsi="Arial" w:cs="Arial"/>
          <w:i/>
          <w:iCs/>
        </w:rPr>
      </w:pPr>
      <w:r w:rsidRPr="005018BC">
        <w:rPr>
          <w:rFonts w:ascii="Arial" w:hAnsi="Arial" w:cs="Arial"/>
          <w:b/>
          <w:bCs/>
          <w:lang w:val="en-US"/>
        </w:rPr>
        <w:t>Aim:</w:t>
      </w:r>
      <w:r w:rsidRPr="005018BC">
        <w:rPr>
          <w:rFonts w:ascii="Arial" w:hAnsi="Arial" w:cs="Arial"/>
          <w:i/>
          <w:iCs/>
          <w:lang w:val="en-US"/>
        </w:rPr>
        <w:t xml:space="preserve"> </w:t>
      </w:r>
      <w:r w:rsidRPr="005018BC">
        <w:rPr>
          <w:rFonts w:ascii="Arial" w:hAnsi="Arial" w:cs="Arial"/>
        </w:rPr>
        <w:t xml:space="preserve">To identify and evaluate operational elements in models of care implemented in primary care settings that have achieved T2DM remission through intensive lifestyle modification. </w:t>
      </w:r>
    </w:p>
    <w:p w14:paraId="4D56ED27" w14:textId="3F0328C3" w:rsidR="00FF0481" w:rsidRPr="005018BC" w:rsidRDefault="00FF0481" w:rsidP="005018BC">
      <w:pPr>
        <w:spacing w:line="240" w:lineRule="auto"/>
        <w:rPr>
          <w:rFonts w:ascii="Arial" w:hAnsi="Arial" w:cs="Arial"/>
          <w:lang w:val="en-US"/>
        </w:rPr>
      </w:pPr>
      <w:r w:rsidRPr="005018BC">
        <w:rPr>
          <w:rFonts w:ascii="Arial" w:hAnsi="Arial" w:cs="Arial"/>
          <w:b/>
          <w:bCs/>
          <w:lang w:val="en-US"/>
        </w:rPr>
        <w:t>Methods:</w:t>
      </w:r>
      <w:r w:rsidRPr="005018BC">
        <w:rPr>
          <w:rFonts w:ascii="Arial" w:hAnsi="Arial" w:cs="Arial"/>
          <w:lang w:val="en-US"/>
        </w:rPr>
        <w:t xml:space="preserve"> Using the PICO framework, the review </w:t>
      </w:r>
      <w:r w:rsidRPr="005018BC">
        <w:rPr>
          <w:rFonts w:ascii="Arial" w:hAnsi="Arial" w:cs="Arial"/>
        </w:rPr>
        <w:t>included studies involving people with T2DM</w:t>
      </w:r>
      <w:r w:rsidR="00437F98" w:rsidRPr="005018BC">
        <w:rPr>
          <w:rFonts w:ascii="Arial" w:hAnsi="Arial" w:cs="Arial"/>
        </w:rPr>
        <w:t xml:space="preserve"> in which a lifestyle intervention was delivered in primary care and T2DM remission was reported as an outcome</w:t>
      </w:r>
      <w:r w:rsidRPr="005018BC">
        <w:rPr>
          <w:rFonts w:ascii="Arial" w:hAnsi="Arial" w:cs="Arial"/>
        </w:rPr>
        <w:t>.</w:t>
      </w:r>
      <w:r w:rsidRPr="005018BC">
        <w:rPr>
          <w:rFonts w:ascii="Arial" w:hAnsi="Arial" w:cs="Arial"/>
          <w:lang w:val="en-US"/>
        </w:rPr>
        <w:t xml:space="preserve"> The Quality Criteria Checklist for primary research was used to evaluate the quality of included studies. </w:t>
      </w:r>
    </w:p>
    <w:p w14:paraId="1AD4C444" w14:textId="3237A94A" w:rsidR="00FF0481" w:rsidRPr="005018BC" w:rsidRDefault="00FF0481" w:rsidP="005018BC">
      <w:pPr>
        <w:spacing w:line="240" w:lineRule="auto"/>
        <w:rPr>
          <w:rFonts w:ascii="Arial" w:hAnsi="Arial" w:cs="Arial"/>
        </w:rPr>
      </w:pPr>
      <w:r w:rsidRPr="005018BC">
        <w:rPr>
          <w:rFonts w:ascii="Arial" w:hAnsi="Arial" w:cs="Arial"/>
          <w:b/>
          <w:bCs/>
          <w:lang w:val="en-US"/>
        </w:rPr>
        <w:t>Results:</w:t>
      </w:r>
      <w:r w:rsidRPr="005018BC">
        <w:rPr>
          <w:rFonts w:ascii="Arial" w:hAnsi="Arial" w:cs="Arial"/>
          <w:lang w:val="en-US"/>
        </w:rPr>
        <w:t xml:space="preserve"> </w:t>
      </w:r>
      <w:r w:rsidR="00B4336D" w:rsidRPr="005018BC">
        <w:rPr>
          <w:rFonts w:ascii="Arial" w:hAnsi="Arial" w:cs="Arial"/>
          <w:lang w:val="en-US"/>
        </w:rPr>
        <w:t xml:space="preserve">11 studies were identified, </w:t>
      </w:r>
      <w:proofErr w:type="spellStart"/>
      <w:r w:rsidR="00B4336D" w:rsidRPr="005018BC">
        <w:rPr>
          <w:rFonts w:ascii="Arial" w:hAnsi="Arial" w:cs="Arial"/>
          <w:lang w:val="en-US"/>
        </w:rPr>
        <w:t>totalling</w:t>
      </w:r>
      <w:proofErr w:type="spellEnd"/>
      <w:r w:rsidR="00B4336D" w:rsidRPr="005018BC">
        <w:rPr>
          <w:rFonts w:ascii="Arial" w:hAnsi="Arial" w:cs="Arial"/>
          <w:lang w:val="en-US"/>
        </w:rPr>
        <w:t xml:space="preserve"> 3,286 participants</w:t>
      </w:r>
      <w:r w:rsidRPr="005018BC">
        <w:rPr>
          <w:rFonts w:ascii="Arial" w:hAnsi="Arial" w:cs="Arial"/>
          <w:lang w:val="en-US"/>
        </w:rPr>
        <w:t xml:space="preserve">. Study quality was mixed. All studies achieved remission in over 10% of participants, using definitions that varied. </w:t>
      </w:r>
      <w:r w:rsidRPr="005018BC">
        <w:rPr>
          <w:rFonts w:ascii="Arial" w:hAnsi="Arial" w:cs="Arial"/>
        </w:rPr>
        <w:t xml:space="preserve">All interventions were </w:t>
      </w:r>
      <w:r w:rsidR="00437F98" w:rsidRPr="005018BC">
        <w:rPr>
          <w:rFonts w:ascii="Arial" w:hAnsi="Arial" w:cs="Arial"/>
        </w:rPr>
        <w:t>diet-based, with the most common approach being very-low-calorie</w:t>
      </w:r>
      <w:r w:rsidRPr="005018BC">
        <w:rPr>
          <w:rFonts w:ascii="Arial" w:hAnsi="Arial" w:cs="Arial"/>
        </w:rPr>
        <w:t xml:space="preserve"> diets with total meal replacement (n=6). Eight common operational elements were identified: (1) ≥2 different healthcare professionals (HCP) in delivery; (2) HCP training in the intervention; (3) duration ≥12 months; (4) ≥10 scheduled contacts over the duration of the </w:t>
      </w:r>
      <w:r w:rsidR="00B4336D" w:rsidRPr="005018BC">
        <w:rPr>
          <w:rFonts w:ascii="Arial" w:hAnsi="Arial" w:cs="Arial"/>
        </w:rPr>
        <w:t>intervention</w:t>
      </w:r>
      <w:r w:rsidRPr="005018BC">
        <w:rPr>
          <w:rFonts w:ascii="Arial" w:hAnsi="Arial" w:cs="Arial"/>
        </w:rPr>
        <w:t xml:space="preserve">; (5) utilisation of multiple modes of delivery; (6) the inclusion of face-to-face care; (7) utilisation of multiple behaviour change techniques (BCTs); (8) graded tasks as one of the BCTs.     </w:t>
      </w:r>
    </w:p>
    <w:p w14:paraId="10C61C33" w14:textId="005D3EA4" w:rsidR="00FF0481" w:rsidRPr="005018BC" w:rsidRDefault="00437F98" w:rsidP="005018BC">
      <w:pPr>
        <w:spacing w:line="240" w:lineRule="auto"/>
        <w:rPr>
          <w:rFonts w:ascii="Arial" w:hAnsi="Arial" w:cs="Arial"/>
        </w:rPr>
      </w:pPr>
      <w:r w:rsidRPr="005018BC">
        <w:rPr>
          <w:rFonts w:ascii="Arial" w:hAnsi="Arial" w:cs="Arial"/>
          <w:b/>
          <w:bCs/>
          <w:lang w:val="en-US"/>
        </w:rPr>
        <w:t>Discussion/</w:t>
      </w:r>
      <w:r w:rsidR="00FF0481" w:rsidRPr="005018BC">
        <w:rPr>
          <w:rFonts w:ascii="Arial" w:hAnsi="Arial" w:cs="Arial"/>
          <w:b/>
          <w:bCs/>
          <w:lang w:val="en-US"/>
        </w:rPr>
        <w:t>Conclusion</w:t>
      </w:r>
      <w:r w:rsidR="00394511" w:rsidRPr="005018BC">
        <w:rPr>
          <w:rFonts w:ascii="Arial" w:hAnsi="Arial" w:cs="Arial"/>
          <w:b/>
          <w:bCs/>
          <w:lang w:val="en-US"/>
        </w:rPr>
        <w:t>:</w:t>
      </w:r>
      <w:r w:rsidR="00FF0481" w:rsidRPr="005018BC">
        <w:rPr>
          <w:rFonts w:ascii="Arial" w:hAnsi="Arial" w:cs="Arial"/>
          <w:i/>
          <w:iCs/>
          <w:lang w:val="en-US"/>
        </w:rPr>
        <w:t xml:space="preserve"> </w:t>
      </w:r>
      <w:r w:rsidR="00FF0481" w:rsidRPr="005018BC">
        <w:rPr>
          <w:rFonts w:ascii="Arial" w:hAnsi="Arial" w:cs="Arial"/>
        </w:rPr>
        <w:t xml:space="preserve">Whilst </w:t>
      </w:r>
      <w:r w:rsidRPr="005018BC">
        <w:rPr>
          <w:rFonts w:ascii="Arial" w:hAnsi="Arial" w:cs="Arial"/>
        </w:rPr>
        <w:t>the included studies were heterogeneous, they were all highly structured programs with frequent contact over extended periods</w:t>
      </w:r>
      <w:r w:rsidR="00FF0481" w:rsidRPr="005018BC">
        <w:rPr>
          <w:rFonts w:ascii="Arial" w:hAnsi="Arial" w:cs="Arial"/>
        </w:rPr>
        <w:t xml:space="preserve">, </w:t>
      </w:r>
      <w:r w:rsidR="00B4336D" w:rsidRPr="005018BC">
        <w:rPr>
          <w:rFonts w:ascii="Arial" w:hAnsi="Arial" w:cs="Arial"/>
        </w:rPr>
        <w:t>capable of delivering</w:t>
      </w:r>
      <w:r w:rsidR="00FF0481" w:rsidRPr="005018BC">
        <w:rPr>
          <w:rFonts w:ascii="Arial" w:hAnsi="Arial" w:cs="Arial"/>
        </w:rPr>
        <w:t xml:space="preserve"> T2DM remission in real-world primary care settings. This review has identified common operational elements of care that can guide future model development. </w:t>
      </w:r>
    </w:p>
    <w:p w14:paraId="3AF459FD" w14:textId="77777777" w:rsidR="009109CF" w:rsidRDefault="009109CF"/>
    <w:p w14:paraId="09C1AD9D" w14:textId="77777777" w:rsidR="004D373B" w:rsidRDefault="004D373B" w:rsidP="00EE2B46"/>
    <w:sectPr w:rsidR="004D3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81"/>
    <w:rsid w:val="000A2111"/>
    <w:rsid w:val="000F7467"/>
    <w:rsid w:val="00394511"/>
    <w:rsid w:val="00437F98"/>
    <w:rsid w:val="004D373B"/>
    <w:rsid w:val="005018BC"/>
    <w:rsid w:val="005F2FA7"/>
    <w:rsid w:val="006C6009"/>
    <w:rsid w:val="006D6516"/>
    <w:rsid w:val="008A3947"/>
    <w:rsid w:val="009109CF"/>
    <w:rsid w:val="009367D1"/>
    <w:rsid w:val="00B4336D"/>
    <w:rsid w:val="00BB38A1"/>
    <w:rsid w:val="00EE2B46"/>
    <w:rsid w:val="00EF5E43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276B"/>
  <w15:chartTrackingRefBased/>
  <w15:docId w15:val="{7DD8F7E4-16F5-4980-B71B-11C8044F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4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0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85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73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2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D35B01-C6A6-4293-8F60-01C09AAF5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B6955-8233-4842-B542-0376CF6F1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BC123-5947-4DA6-A9A6-6082AEB81DF0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1850</Characters>
  <Application>Microsoft Office Word</Application>
  <DocSecurity>0</DocSecurity>
  <Lines>29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Health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Blackie (Western NSW LHD)</dc:creator>
  <cp:keywords/>
  <dc:description/>
  <cp:lastModifiedBy>Tanya Yandall</cp:lastModifiedBy>
  <cp:revision>3</cp:revision>
  <cp:lastPrinted>2026-02-01T07:21:00Z</cp:lastPrinted>
  <dcterms:created xsi:type="dcterms:W3CDTF">2026-02-10T23:53:00Z</dcterms:created>
  <dcterms:modified xsi:type="dcterms:W3CDTF">2026-02-10T23:53:00Z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889f94c5-686b-4f36-9abd-c838123fbbae</vt:lpwstr>
  </property>
  <property fmtid="{D5CDD505-2E9C-101B-9397-08002B2CF9AE}" pid="3" name="MSIP_Label_00f30421-7766-42c6-b167-b4a273574e25_Enabled">
    <vt:lpwstr>true</vt:lpwstr>
  </property>
  <property fmtid="{D5CDD505-2E9C-101B-9397-08002B2CF9AE}" pid="4" name="MSIP_Label_00f30421-7766-42c6-b167-b4a273574e25_SetDate">
    <vt:lpwstr>2026-02-01T07:21:40Z</vt:lpwstr>
  </property>
  <property fmtid="{D5CDD505-2E9C-101B-9397-08002B2CF9AE}" pid="5" name="MSIP_Label_00f30421-7766-42c6-b167-b4a273574e25_Method">
    <vt:lpwstr>Privileged</vt:lpwstr>
  </property>
  <property fmtid="{D5CDD505-2E9C-101B-9397-08002B2CF9AE}" pid="6" name="MSIP_Label_00f30421-7766-42c6-b167-b4a273574e25_Name">
    <vt:lpwstr>UNOFFICIAL</vt:lpwstr>
  </property>
  <property fmtid="{D5CDD505-2E9C-101B-9397-08002B2CF9AE}" pid="7" name="MSIP_Label_00f30421-7766-42c6-b167-b4a273574e25_SiteId">
    <vt:lpwstr>a687a7bf-02db-43df-bcbb-e7a8bda611a2</vt:lpwstr>
  </property>
  <property fmtid="{D5CDD505-2E9C-101B-9397-08002B2CF9AE}" pid="8" name="MSIP_Label_00f30421-7766-42c6-b167-b4a273574e25_ActionId">
    <vt:lpwstr>40b32fec-781d-46a2-a81f-b9ee9821fcf5</vt:lpwstr>
  </property>
  <property fmtid="{D5CDD505-2E9C-101B-9397-08002B2CF9AE}" pid="9" name="MSIP_Label_00f30421-7766-42c6-b167-b4a273574e25_ContentBits">
    <vt:lpwstr>0</vt:lpwstr>
  </property>
  <property fmtid="{D5CDD505-2E9C-101B-9397-08002B2CF9AE}" pid="10" name="MSIP_Label_00f30421-7766-42c6-b167-b4a273574e25_Tag">
    <vt:lpwstr>10, 0, 1, 1</vt:lpwstr>
  </property>
  <property fmtid="{D5CDD505-2E9C-101B-9397-08002B2CF9AE}" pid="11" name="ContentTypeId">
    <vt:lpwstr>0x01010004DB0B76CE105D459F58063C0D0B3831</vt:lpwstr>
  </property>
  <property fmtid="{D5CDD505-2E9C-101B-9397-08002B2CF9AE}" pid="12" name="MediaServiceImageTags">
    <vt:lpwstr/>
  </property>
</Properties>
</file>