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9BD0" w14:textId="77777777" w:rsidR="003E06ED" w:rsidRDefault="003E06ED" w:rsidP="00AD1CE5">
      <w:pPr>
        <w:rPr>
          <w:b/>
          <w:bCs/>
        </w:rPr>
      </w:pPr>
    </w:p>
    <w:p w14:paraId="2730E23B" w14:textId="6B337B35" w:rsidR="00AD1CE5" w:rsidRPr="003E06ED" w:rsidRDefault="00AD1CE5" w:rsidP="003E06ED">
      <w:pPr>
        <w:rPr>
          <w:rFonts w:ascii="Arial" w:hAnsi="Arial" w:cs="Arial"/>
          <w:b/>
          <w:bCs/>
        </w:rPr>
      </w:pPr>
      <w:r w:rsidRPr="003E06ED">
        <w:rPr>
          <w:rFonts w:ascii="Arial" w:hAnsi="Arial" w:cs="Arial"/>
          <w:b/>
          <w:bCs/>
        </w:rPr>
        <w:t>Socioeconomic gradients in geographic access to healthcare services among Australians with type 2 diabetes</w:t>
      </w:r>
    </w:p>
    <w:p w14:paraId="4AF88566" w14:textId="77777777" w:rsidR="00AD1CE5" w:rsidRPr="003E06ED" w:rsidRDefault="00AD1CE5" w:rsidP="003E06ED">
      <w:pPr>
        <w:rPr>
          <w:rFonts w:ascii="Arial" w:hAnsi="Arial" w:cs="Arial"/>
        </w:rPr>
      </w:pPr>
    </w:p>
    <w:p w14:paraId="1FE13E8B" w14:textId="77777777" w:rsidR="0005087E" w:rsidRPr="003E06ED" w:rsidRDefault="0005087E" w:rsidP="003E06ED">
      <w:pPr>
        <w:rPr>
          <w:rFonts w:ascii="Arial" w:hAnsi="Arial" w:cs="Arial"/>
          <w:b/>
          <w:bCs/>
        </w:rPr>
      </w:pPr>
      <w:r w:rsidRPr="003E06ED">
        <w:rPr>
          <w:rFonts w:ascii="Arial" w:hAnsi="Arial" w:cs="Arial"/>
          <w:b/>
          <w:bCs/>
        </w:rPr>
        <w:t>Background</w:t>
      </w:r>
    </w:p>
    <w:p w14:paraId="1F292DBE" w14:textId="77777777" w:rsidR="0005087E" w:rsidRPr="003E06ED" w:rsidRDefault="0005087E" w:rsidP="003E06ED">
      <w:pPr>
        <w:rPr>
          <w:rFonts w:ascii="Arial" w:hAnsi="Arial" w:cs="Arial"/>
        </w:rPr>
      </w:pPr>
      <w:r w:rsidRPr="003E06ED">
        <w:rPr>
          <w:rFonts w:ascii="Arial" w:hAnsi="Arial" w:cs="Arial"/>
        </w:rPr>
        <w:t>Geographic access to healthcare influences health outcomes, yet variation in access across area-level socioeconomic strata among people with type 2 diabetes is not well characterised. We examined associations between area-level socioeconomic status (SES) and geographic access to healthcare services across Australia.</w:t>
      </w:r>
    </w:p>
    <w:p w14:paraId="09CCA44C" w14:textId="77777777" w:rsidR="0005087E" w:rsidRPr="003E06ED" w:rsidRDefault="0005087E" w:rsidP="003E06ED">
      <w:pPr>
        <w:rPr>
          <w:rFonts w:ascii="Arial" w:hAnsi="Arial" w:cs="Arial"/>
        </w:rPr>
      </w:pPr>
    </w:p>
    <w:p w14:paraId="0AC7BC06" w14:textId="77777777" w:rsidR="0005087E" w:rsidRPr="003E06ED" w:rsidRDefault="0005087E" w:rsidP="003E06ED">
      <w:pPr>
        <w:rPr>
          <w:rFonts w:ascii="Arial" w:hAnsi="Arial" w:cs="Arial"/>
          <w:b/>
          <w:bCs/>
        </w:rPr>
      </w:pPr>
      <w:r w:rsidRPr="003E06ED">
        <w:rPr>
          <w:rFonts w:ascii="Arial" w:hAnsi="Arial" w:cs="Arial"/>
          <w:b/>
          <w:bCs/>
        </w:rPr>
        <w:t>Methods</w:t>
      </w:r>
    </w:p>
    <w:p w14:paraId="2B84DF70" w14:textId="6391ADA6" w:rsidR="0005087E" w:rsidRPr="003E06ED" w:rsidRDefault="0005087E" w:rsidP="003E06ED">
      <w:pPr>
        <w:rPr>
          <w:rFonts w:ascii="Arial" w:hAnsi="Arial" w:cs="Arial"/>
        </w:rPr>
      </w:pPr>
      <w:r w:rsidRPr="003E06ED">
        <w:rPr>
          <w:rFonts w:ascii="Arial" w:hAnsi="Arial" w:cs="Arial"/>
        </w:rPr>
        <w:t xml:space="preserve">We analysed data from 5,147 participants with type 2 diabetes enrolled in the Fenofibrate Intervention and Event Lowering in Diabetes (FIELD) study. Residential addresses were geocoded and linked to national healthcare facility data. </w:t>
      </w:r>
      <w:r w:rsidR="00B73921" w:rsidRPr="003E06ED">
        <w:rPr>
          <w:rFonts w:ascii="Arial" w:hAnsi="Arial" w:cs="Arial"/>
        </w:rPr>
        <w:t>Area-level socioeconomic status (SES) was assessed using Census-derived Index of Relative Socioeconomic Disadvantage (IRSD), Index of Education and Occupation (IEO), and Index of Economic Resources (IER)</w:t>
      </w:r>
      <w:r w:rsidRPr="003E06ED">
        <w:rPr>
          <w:rFonts w:ascii="Arial" w:hAnsi="Arial" w:cs="Arial"/>
        </w:rPr>
        <w:t>, expressed as state-level percentiles and categorised into tertiles.</w:t>
      </w:r>
    </w:p>
    <w:p w14:paraId="237C9A70" w14:textId="3B4C0C53" w:rsidR="0005087E" w:rsidRPr="003E06ED" w:rsidRDefault="0005087E" w:rsidP="003E06ED">
      <w:pPr>
        <w:rPr>
          <w:rFonts w:ascii="Arial" w:hAnsi="Arial" w:cs="Arial"/>
        </w:rPr>
      </w:pPr>
      <w:r w:rsidRPr="003E06ED">
        <w:rPr>
          <w:rFonts w:ascii="Arial" w:hAnsi="Arial" w:cs="Arial"/>
        </w:rPr>
        <w:t>For each participant, mean distance to the 10 nearest healthcare services (general practice</w:t>
      </w:r>
      <w:r w:rsidR="00D31CAB" w:rsidRPr="003E06ED">
        <w:rPr>
          <w:rFonts w:ascii="Arial" w:hAnsi="Arial" w:cs="Arial"/>
        </w:rPr>
        <w:t xml:space="preserve"> and </w:t>
      </w:r>
      <w:r w:rsidRPr="003E06ED">
        <w:rPr>
          <w:rFonts w:ascii="Arial" w:hAnsi="Arial" w:cs="Arial"/>
        </w:rPr>
        <w:t xml:space="preserve">hospitals) was calculated and compared across SES </w:t>
      </w:r>
      <w:r w:rsidR="0079630E" w:rsidRPr="003E06ED">
        <w:rPr>
          <w:rFonts w:ascii="Arial" w:hAnsi="Arial" w:cs="Arial"/>
        </w:rPr>
        <w:t xml:space="preserve">tertiles </w:t>
      </w:r>
      <w:r w:rsidRPr="003E06ED">
        <w:rPr>
          <w:rFonts w:ascii="Arial" w:hAnsi="Arial" w:cs="Arial"/>
        </w:rPr>
        <w:t>strata.</w:t>
      </w:r>
    </w:p>
    <w:p w14:paraId="7E3D90DA" w14:textId="77777777" w:rsidR="0005087E" w:rsidRPr="003E06ED" w:rsidRDefault="0005087E" w:rsidP="003E06ED">
      <w:pPr>
        <w:rPr>
          <w:rFonts w:ascii="Arial" w:hAnsi="Arial" w:cs="Arial"/>
        </w:rPr>
      </w:pPr>
    </w:p>
    <w:p w14:paraId="1AEAF70E" w14:textId="77777777" w:rsidR="0005087E" w:rsidRPr="003E06ED" w:rsidRDefault="0005087E" w:rsidP="003E06ED">
      <w:pPr>
        <w:rPr>
          <w:rFonts w:ascii="Arial" w:hAnsi="Arial" w:cs="Arial"/>
          <w:b/>
          <w:bCs/>
        </w:rPr>
      </w:pPr>
      <w:r w:rsidRPr="003E06ED">
        <w:rPr>
          <w:rFonts w:ascii="Arial" w:hAnsi="Arial" w:cs="Arial"/>
          <w:b/>
          <w:bCs/>
        </w:rPr>
        <w:t>Results</w:t>
      </w:r>
    </w:p>
    <w:p w14:paraId="4314914D" w14:textId="5FC4C76F" w:rsidR="0005087E" w:rsidRPr="003E06ED" w:rsidRDefault="0005087E" w:rsidP="003E06ED">
      <w:pPr>
        <w:rPr>
          <w:rFonts w:ascii="Arial" w:hAnsi="Arial" w:cs="Arial"/>
        </w:rPr>
      </w:pPr>
      <w:r w:rsidRPr="003E06ED">
        <w:rPr>
          <w:rFonts w:ascii="Arial" w:hAnsi="Arial" w:cs="Arial"/>
        </w:rPr>
        <w:t>Median distance to healthcare services differed significantly across area-level SES strata for all indices. Participants residing in lowe</w:t>
      </w:r>
      <w:r w:rsidR="0079630E" w:rsidRPr="003E06ED">
        <w:rPr>
          <w:rFonts w:ascii="Arial" w:hAnsi="Arial" w:cs="Arial"/>
        </w:rPr>
        <w:t xml:space="preserve">st </w:t>
      </w:r>
      <w:r w:rsidRPr="003E06ED">
        <w:rPr>
          <w:rFonts w:ascii="Arial" w:hAnsi="Arial" w:cs="Arial"/>
        </w:rPr>
        <w:t>versus highe</w:t>
      </w:r>
      <w:r w:rsidR="0079630E" w:rsidRPr="003E06ED">
        <w:rPr>
          <w:rFonts w:ascii="Arial" w:hAnsi="Arial" w:cs="Arial"/>
        </w:rPr>
        <w:t xml:space="preserve">st </w:t>
      </w:r>
      <w:r w:rsidRPr="003E06ED">
        <w:rPr>
          <w:rFonts w:ascii="Arial" w:hAnsi="Arial" w:cs="Arial"/>
        </w:rPr>
        <w:t xml:space="preserve">SES </w:t>
      </w:r>
      <w:r w:rsidR="0079630E" w:rsidRPr="003E06ED">
        <w:rPr>
          <w:rFonts w:ascii="Arial" w:hAnsi="Arial" w:cs="Arial"/>
        </w:rPr>
        <w:t xml:space="preserve">tertiles </w:t>
      </w:r>
      <w:r w:rsidRPr="003E06ED">
        <w:rPr>
          <w:rFonts w:ascii="Arial" w:hAnsi="Arial" w:cs="Arial"/>
        </w:rPr>
        <w:t>lived further from general practice services (IRSD: 1.9 [1.4–4.5] vs 1.8 [1.3–2.4] km; IER: 1.9 [1.3–4.6] vs 1.8 [1.4–2.5] km; IEO: 2.2 [1.5–5.3] vs 1.6 [1.2–2.2] km; all p&lt;0.0001).</w:t>
      </w:r>
    </w:p>
    <w:p w14:paraId="0717202D" w14:textId="3665CAD2" w:rsidR="0005087E" w:rsidRPr="003E06ED" w:rsidRDefault="0079630E" w:rsidP="003E06ED">
      <w:pPr>
        <w:rPr>
          <w:rFonts w:ascii="Arial" w:hAnsi="Arial" w:cs="Arial"/>
        </w:rPr>
      </w:pPr>
      <w:r w:rsidRPr="003E06ED">
        <w:rPr>
          <w:rFonts w:ascii="Arial" w:hAnsi="Arial" w:cs="Arial"/>
        </w:rPr>
        <w:t>More marked</w:t>
      </w:r>
      <w:r w:rsidR="0005087E" w:rsidRPr="003E06ED">
        <w:rPr>
          <w:rFonts w:ascii="Arial" w:hAnsi="Arial" w:cs="Arial"/>
        </w:rPr>
        <w:t xml:space="preserve"> gradients were observed for hospital-based services (IRSD: 10.2 [5.7–23.1] vs 5.5 [3.6–9.9] km; IER: 10.1 [5.2–23.8] vs 5.8 [3.9–9.8] km; IEO: 10.9 [6.9–24.1] vs 4.7 [3.2–8.1] km; all p&lt;0.0001). Inequality was greatest for IEO, with participants residing in </w:t>
      </w:r>
      <w:r w:rsidRPr="003E06ED">
        <w:rPr>
          <w:rFonts w:ascii="Arial" w:hAnsi="Arial" w:cs="Arial"/>
        </w:rPr>
        <w:t xml:space="preserve">the </w:t>
      </w:r>
      <w:r w:rsidR="0005087E" w:rsidRPr="003E06ED">
        <w:rPr>
          <w:rFonts w:ascii="Arial" w:hAnsi="Arial" w:cs="Arial"/>
        </w:rPr>
        <w:t>highe</w:t>
      </w:r>
      <w:r w:rsidRPr="003E06ED">
        <w:rPr>
          <w:rFonts w:ascii="Arial" w:hAnsi="Arial" w:cs="Arial"/>
        </w:rPr>
        <w:t xml:space="preserve">st </w:t>
      </w:r>
      <w:r w:rsidR="0005087E" w:rsidRPr="003E06ED">
        <w:rPr>
          <w:rFonts w:ascii="Arial" w:hAnsi="Arial" w:cs="Arial"/>
        </w:rPr>
        <w:t xml:space="preserve">SES </w:t>
      </w:r>
      <w:r w:rsidRPr="003E06ED">
        <w:rPr>
          <w:rFonts w:ascii="Arial" w:hAnsi="Arial" w:cs="Arial"/>
        </w:rPr>
        <w:t>(vs</w:t>
      </w:r>
      <w:r w:rsidR="00B73921" w:rsidRPr="003E06ED">
        <w:rPr>
          <w:rFonts w:ascii="Arial" w:hAnsi="Arial" w:cs="Arial"/>
        </w:rPr>
        <w:t>.</w:t>
      </w:r>
      <w:r w:rsidRPr="003E06ED">
        <w:rPr>
          <w:rFonts w:ascii="Arial" w:hAnsi="Arial" w:cs="Arial"/>
        </w:rPr>
        <w:t xml:space="preserve"> lowest) tertile </w:t>
      </w:r>
      <w:r w:rsidR="0005087E" w:rsidRPr="003E06ED">
        <w:rPr>
          <w:rFonts w:ascii="Arial" w:hAnsi="Arial" w:cs="Arial"/>
        </w:rPr>
        <w:t xml:space="preserve">areas living </w:t>
      </w:r>
      <w:r w:rsidR="00B73921" w:rsidRPr="003E06ED">
        <w:rPr>
          <w:rFonts w:ascii="Arial" w:hAnsi="Arial" w:cs="Arial"/>
        </w:rPr>
        <w:t xml:space="preserve">closer </w:t>
      </w:r>
      <w:r w:rsidR="0005087E" w:rsidRPr="003E06ED">
        <w:rPr>
          <w:rFonts w:ascii="Arial" w:hAnsi="Arial" w:cs="Arial"/>
        </w:rPr>
        <w:t>general practice</w:t>
      </w:r>
      <w:r w:rsidR="00B73921" w:rsidRPr="003E06ED">
        <w:rPr>
          <w:rFonts w:ascii="Arial" w:hAnsi="Arial" w:cs="Arial"/>
        </w:rPr>
        <w:t xml:space="preserve"> (25%)</w:t>
      </w:r>
      <w:r w:rsidR="0005087E" w:rsidRPr="003E06ED">
        <w:rPr>
          <w:rFonts w:ascii="Arial" w:hAnsi="Arial" w:cs="Arial"/>
        </w:rPr>
        <w:t>, hospitals</w:t>
      </w:r>
      <w:r w:rsidR="00B73921" w:rsidRPr="003E06ED">
        <w:rPr>
          <w:rFonts w:ascii="Arial" w:hAnsi="Arial" w:cs="Arial"/>
        </w:rPr>
        <w:t xml:space="preserve"> (57%)</w:t>
      </w:r>
      <w:r w:rsidR="0005087E" w:rsidRPr="003E06ED">
        <w:rPr>
          <w:rFonts w:ascii="Arial" w:hAnsi="Arial" w:cs="Arial"/>
        </w:rPr>
        <w:t>, and emergency departments</w:t>
      </w:r>
      <w:r w:rsidR="00B73921" w:rsidRPr="003E06ED">
        <w:rPr>
          <w:rFonts w:ascii="Arial" w:hAnsi="Arial" w:cs="Arial"/>
        </w:rPr>
        <w:t xml:space="preserve"> (63%)</w:t>
      </w:r>
      <w:r w:rsidR="0005087E" w:rsidRPr="003E06ED">
        <w:rPr>
          <w:rFonts w:ascii="Arial" w:hAnsi="Arial" w:cs="Arial"/>
        </w:rPr>
        <w:t>.</w:t>
      </w:r>
      <w:r w:rsidRPr="003E06ED">
        <w:rPr>
          <w:rFonts w:ascii="Arial" w:hAnsi="Arial" w:cs="Arial"/>
        </w:rPr>
        <w:t xml:space="preserve"> Lower IRSD and IER were associated with </w:t>
      </w:r>
      <w:r w:rsidR="003E29D5" w:rsidRPr="003E06ED">
        <w:rPr>
          <w:rFonts w:ascii="Arial" w:hAnsi="Arial" w:cs="Arial"/>
        </w:rPr>
        <w:t xml:space="preserve">adverse </w:t>
      </w:r>
      <w:r w:rsidRPr="003E06ED">
        <w:rPr>
          <w:rFonts w:ascii="Arial" w:hAnsi="Arial" w:cs="Arial"/>
        </w:rPr>
        <w:t>cardiovascular outcomes.</w:t>
      </w:r>
    </w:p>
    <w:p w14:paraId="1D3A12BA" w14:textId="77777777" w:rsidR="0005087E" w:rsidRPr="003E06ED" w:rsidRDefault="0005087E" w:rsidP="003E06ED">
      <w:pPr>
        <w:rPr>
          <w:rFonts w:ascii="Arial" w:hAnsi="Arial" w:cs="Arial"/>
        </w:rPr>
      </w:pPr>
    </w:p>
    <w:p w14:paraId="57ED1BC5" w14:textId="77777777" w:rsidR="0005087E" w:rsidRPr="003E06ED" w:rsidRDefault="0005087E" w:rsidP="003E06ED">
      <w:pPr>
        <w:rPr>
          <w:rFonts w:ascii="Arial" w:hAnsi="Arial" w:cs="Arial"/>
          <w:b/>
          <w:bCs/>
        </w:rPr>
      </w:pPr>
      <w:r w:rsidRPr="003E06ED">
        <w:rPr>
          <w:rFonts w:ascii="Arial" w:hAnsi="Arial" w:cs="Arial"/>
          <w:b/>
          <w:bCs/>
        </w:rPr>
        <w:t>Conclusions</w:t>
      </w:r>
    </w:p>
    <w:p w14:paraId="2F6A9EE2" w14:textId="3E4F493B" w:rsidR="0027003C" w:rsidRPr="003E06ED" w:rsidRDefault="0005087E" w:rsidP="003E06ED">
      <w:pPr>
        <w:rPr>
          <w:rFonts w:ascii="Arial" w:hAnsi="Arial" w:cs="Arial"/>
        </w:rPr>
      </w:pPr>
      <w:r w:rsidRPr="003E06ED">
        <w:rPr>
          <w:rFonts w:ascii="Arial" w:hAnsi="Arial" w:cs="Arial"/>
        </w:rPr>
        <w:t>Pronounced area-level socioeconomic gradients exist in geographic access to healthcare among Australians with type 2 diabetes, highlighting structural inequities that may contribute to disparities in diabetes care and outcomes.</w:t>
      </w:r>
    </w:p>
    <w:p w14:paraId="1552D964" w14:textId="77777777" w:rsidR="0005087E" w:rsidRPr="003E06ED" w:rsidRDefault="0005087E" w:rsidP="003E06ED">
      <w:pPr>
        <w:rPr>
          <w:rFonts w:ascii="Arial" w:hAnsi="Arial" w:cs="Arial"/>
        </w:rPr>
      </w:pPr>
    </w:p>
    <w:sectPr w:rsidR="0005087E" w:rsidRPr="003E0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E5"/>
    <w:rsid w:val="0005087E"/>
    <w:rsid w:val="000B3BEF"/>
    <w:rsid w:val="00141C2A"/>
    <w:rsid w:val="00196C03"/>
    <w:rsid w:val="0027003C"/>
    <w:rsid w:val="002E0D2A"/>
    <w:rsid w:val="003A2647"/>
    <w:rsid w:val="003B7949"/>
    <w:rsid w:val="003E06ED"/>
    <w:rsid w:val="003E29D5"/>
    <w:rsid w:val="00497419"/>
    <w:rsid w:val="005763B6"/>
    <w:rsid w:val="005A7822"/>
    <w:rsid w:val="005C2B03"/>
    <w:rsid w:val="005F4CC8"/>
    <w:rsid w:val="006136A9"/>
    <w:rsid w:val="006A0FA1"/>
    <w:rsid w:val="006B2A4C"/>
    <w:rsid w:val="0079630E"/>
    <w:rsid w:val="008500C4"/>
    <w:rsid w:val="00944362"/>
    <w:rsid w:val="00992E03"/>
    <w:rsid w:val="009C6A75"/>
    <w:rsid w:val="00A52F3F"/>
    <w:rsid w:val="00AD1CE5"/>
    <w:rsid w:val="00AF19D7"/>
    <w:rsid w:val="00B2426F"/>
    <w:rsid w:val="00B73921"/>
    <w:rsid w:val="00BE2EF1"/>
    <w:rsid w:val="00C75F08"/>
    <w:rsid w:val="00CE5A60"/>
    <w:rsid w:val="00D253E0"/>
    <w:rsid w:val="00D31CAB"/>
    <w:rsid w:val="00DF20DD"/>
    <w:rsid w:val="00E02AFE"/>
    <w:rsid w:val="00E947C5"/>
    <w:rsid w:val="00F4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8D398"/>
  <w15:chartTrackingRefBased/>
  <w15:docId w15:val="{5851AC07-DF3A-417F-82E9-95902DD0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C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C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C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C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CE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CE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CE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C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D1C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C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D1C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D1C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C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D37310-29E0-442F-A74C-75A304E88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1E897-709D-41F7-BF1D-5775B881D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BDDAC-0BD5-4C41-BF5D-EDBB872CB8F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1884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Januszewski</dc:creator>
  <cp:keywords/>
  <dc:description/>
  <cp:lastModifiedBy>Tanya Yandall</cp:lastModifiedBy>
  <cp:revision>3</cp:revision>
  <cp:lastPrinted>2026-01-30T05:40:00Z</cp:lastPrinted>
  <dcterms:created xsi:type="dcterms:W3CDTF">2026-02-15T03:16:00Z</dcterms:created>
  <dcterms:modified xsi:type="dcterms:W3CDTF">2026-02-15T03:16:00Z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