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24C1" w14:textId="57BDD042" w:rsidR="00D00AB8" w:rsidRPr="00A94CAB" w:rsidRDefault="00814BA5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94CAB">
        <w:rPr>
          <w:rFonts w:ascii="Arial" w:hAnsi="Arial" w:cs="Arial"/>
          <w:b/>
          <w:bCs/>
          <w:sz w:val="22"/>
          <w:szCs w:val="22"/>
        </w:rPr>
        <w:t>Simple ways to measure and</w:t>
      </w:r>
      <w:r w:rsidR="002862BB" w:rsidRPr="00A94CAB">
        <w:rPr>
          <w:rFonts w:ascii="Arial" w:hAnsi="Arial" w:cs="Arial"/>
          <w:b/>
          <w:bCs/>
          <w:sz w:val="22"/>
          <w:szCs w:val="22"/>
        </w:rPr>
        <w:t xml:space="preserve"> predict</w:t>
      </w:r>
      <w:r w:rsidRPr="00A94CAB">
        <w:rPr>
          <w:rFonts w:ascii="Arial" w:hAnsi="Arial" w:cs="Arial"/>
          <w:b/>
          <w:bCs/>
          <w:sz w:val="22"/>
          <w:szCs w:val="22"/>
        </w:rPr>
        <w:t xml:space="preserve"> </w:t>
      </w:r>
      <w:r w:rsidR="002862BB" w:rsidRPr="00A94CAB">
        <w:rPr>
          <w:rFonts w:ascii="Arial" w:hAnsi="Arial" w:cs="Arial"/>
          <w:b/>
          <w:bCs/>
          <w:sz w:val="22"/>
          <w:szCs w:val="22"/>
        </w:rPr>
        <w:t xml:space="preserve">treatment response to </w:t>
      </w:r>
      <w:r w:rsidRPr="00A94CAB">
        <w:rPr>
          <w:rFonts w:ascii="Arial" w:hAnsi="Arial" w:cs="Arial"/>
          <w:b/>
          <w:bCs/>
          <w:sz w:val="22"/>
          <w:szCs w:val="22"/>
        </w:rPr>
        <w:t xml:space="preserve">type 1 diabetes </w:t>
      </w:r>
      <w:r w:rsidR="002862BB" w:rsidRPr="00A94CAB">
        <w:rPr>
          <w:rFonts w:ascii="Arial" w:hAnsi="Arial" w:cs="Arial"/>
          <w:b/>
          <w:bCs/>
          <w:sz w:val="22"/>
          <w:szCs w:val="22"/>
        </w:rPr>
        <w:t xml:space="preserve">immunotherapy </w:t>
      </w:r>
      <w:r w:rsidR="00830FAD" w:rsidRPr="00A94CAB">
        <w:rPr>
          <w:rFonts w:ascii="Arial" w:hAnsi="Arial" w:cs="Arial"/>
          <w:b/>
          <w:bCs/>
          <w:sz w:val="22"/>
          <w:szCs w:val="22"/>
        </w:rPr>
        <w:t>suitable for</w:t>
      </w:r>
      <w:r w:rsidRPr="00A94CAB">
        <w:rPr>
          <w:rFonts w:ascii="Arial" w:hAnsi="Arial" w:cs="Arial"/>
          <w:b/>
          <w:bCs/>
          <w:sz w:val="22"/>
          <w:szCs w:val="22"/>
        </w:rPr>
        <w:t xml:space="preserve"> routine </w:t>
      </w:r>
      <w:r w:rsidR="002B31AE" w:rsidRPr="00A94CAB">
        <w:rPr>
          <w:rFonts w:ascii="Arial" w:hAnsi="Arial" w:cs="Arial"/>
          <w:b/>
          <w:bCs/>
          <w:sz w:val="22"/>
          <w:szCs w:val="22"/>
        </w:rPr>
        <w:t xml:space="preserve">use in the </w:t>
      </w:r>
      <w:r w:rsidRPr="00A94CAB">
        <w:rPr>
          <w:rFonts w:ascii="Arial" w:hAnsi="Arial" w:cs="Arial"/>
          <w:b/>
          <w:bCs/>
          <w:sz w:val="22"/>
          <w:szCs w:val="22"/>
        </w:rPr>
        <w:t>clini</w:t>
      </w:r>
      <w:r w:rsidR="002B31AE" w:rsidRPr="00A94CAB">
        <w:rPr>
          <w:rFonts w:ascii="Arial" w:hAnsi="Arial" w:cs="Arial"/>
          <w:b/>
          <w:bCs/>
          <w:sz w:val="22"/>
          <w:szCs w:val="22"/>
        </w:rPr>
        <w:t>c</w:t>
      </w:r>
      <w:r w:rsidR="002862BB" w:rsidRPr="00A94CAB">
        <w:rPr>
          <w:rFonts w:ascii="Arial" w:hAnsi="Arial" w:cs="Arial"/>
          <w:b/>
          <w:bCs/>
          <w:sz w:val="22"/>
          <w:szCs w:val="22"/>
        </w:rPr>
        <w:t>.</w:t>
      </w:r>
    </w:p>
    <w:p w14:paraId="5391D527" w14:textId="77777777" w:rsidR="00921493" w:rsidRPr="00A94CAB" w:rsidRDefault="00921493" w:rsidP="00A94CA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8FF7EA3" w14:textId="467D695A" w:rsidR="002862BB" w:rsidRPr="00A94CAB" w:rsidRDefault="002862BB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94CAB">
        <w:rPr>
          <w:rFonts w:ascii="Arial" w:hAnsi="Arial" w:cs="Arial"/>
          <w:b/>
          <w:bCs/>
          <w:sz w:val="22"/>
          <w:szCs w:val="22"/>
        </w:rPr>
        <w:t>Objective</w:t>
      </w:r>
    </w:p>
    <w:p w14:paraId="3E1A9F62" w14:textId="4077592E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 xml:space="preserve">Baricitinib preserves beta cell function in people with </w:t>
      </w:r>
      <w:proofErr w:type="gramStart"/>
      <w:r w:rsidRPr="00A94CAB">
        <w:rPr>
          <w:rFonts w:ascii="Arial" w:hAnsi="Arial" w:cs="Arial"/>
          <w:sz w:val="22"/>
          <w:szCs w:val="22"/>
        </w:rPr>
        <w:t>recently-diagnosed</w:t>
      </w:r>
      <w:proofErr w:type="gramEnd"/>
      <w:r w:rsidRPr="00A94CAB">
        <w:rPr>
          <w:rFonts w:ascii="Arial" w:hAnsi="Arial" w:cs="Arial"/>
          <w:sz w:val="22"/>
          <w:szCs w:val="22"/>
        </w:rPr>
        <w:t xml:space="preserve"> type 1 diabetes. We aimed to determine if simple routine clinical measures could be used to assess beta cell preservation and predict treatment response.</w:t>
      </w:r>
    </w:p>
    <w:p w14:paraId="7F8D29AB" w14:textId="77777777" w:rsidR="002862BB" w:rsidRPr="00A94CAB" w:rsidRDefault="002862BB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E613837" w14:textId="3DA50A69" w:rsidR="002862BB" w:rsidRPr="00A94CAB" w:rsidRDefault="002862BB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94CAB">
        <w:rPr>
          <w:rFonts w:ascii="Arial" w:hAnsi="Arial" w:cs="Arial"/>
          <w:b/>
          <w:bCs/>
          <w:sz w:val="22"/>
          <w:szCs w:val="22"/>
        </w:rPr>
        <w:t>Research Designs and Method</w:t>
      </w:r>
    </w:p>
    <w:p w14:paraId="12B656A6" w14:textId="77777777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>Measures of beta cell function derived from clinical and biochemical measures were</w:t>
      </w:r>
    </w:p>
    <w:p w14:paraId="652A62BF" w14:textId="410B390C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>calculated using data from the BANDIT randomised trial of baricitinib in recent-onset type 1</w:t>
      </w:r>
      <w:r w:rsidR="00814BA5" w:rsidRPr="00A94CAB">
        <w:rPr>
          <w:rFonts w:ascii="Arial" w:hAnsi="Arial" w:cs="Arial"/>
          <w:sz w:val="22"/>
          <w:szCs w:val="22"/>
        </w:rPr>
        <w:t xml:space="preserve"> </w:t>
      </w:r>
      <w:r w:rsidRPr="00A94CAB">
        <w:rPr>
          <w:rFonts w:ascii="Arial" w:hAnsi="Arial" w:cs="Arial"/>
          <w:sz w:val="22"/>
          <w:szCs w:val="22"/>
        </w:rPr>
        <w:t>diabetes. Measures that reported and predicted treatment efficacy were determined</w:t>
      </w:r>
      <w:r w:rsidR="00814BA5" w:rsidRPr="00A94CAB">
        <w:rPr>
          <w:rFonts w:ascii="Arial" w:hAnsi="Arial" w:cs="Arial"/>
          <w:sz w:val="22"/>
          <w:szCs w:val="22"/>
        </w:rPr>
        <w:t>, respectively,</w:t>
      </w:r>
      <w:r w:rsidRPr="00A94CAB">
        <w:rPr>
          <w:rFonts w:ascii="Arial" w:hAnsi="Arial" w:cs="Arial"/>
          <w:sz w:val="22"/>
          <w:szCs w:val="22"/>
        </w:rPr>
        <w:t xml:space="preserve"> using linear regression and receiver-operator characteristic analysis. Therapeutic predictors were validated using data from trials of rituximab, abatacept and anti-thymocyte globulin.</w:t>
      </w:r>
    </w:p>
    <w:p w14:paraId="46503FA6" w14:textId="77777777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1B285C" w14:textId="7460F2D1" w:rsidR="002862BB" w:rsidRPr="00A94CAB" w:rsidRDefault="002862BB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94CAB">
        <w:rPr>
          <w:rFonts w:ascii="Arial" w:hAnsi="Arial" w:cs="Arial"/>
          <w:b/>
          <w:bCs/>
          <w:sz w:val="22"/>
          <w:szCs w:val="22"/>
        </w:rPr>
        <w:t>Results</w:t>
      </w:r>
    </w:p>
    <w:p w14:paraId="7AE80545" w14:textId="77777777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>Quantitative response score (QRS), fasting C-peptide and model-estimated C-peptide</w:t>
      </w:r>
    </w:p>
    <w:p w14:paraId="11303D4D" w14:textId="1341AE82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>(</w:t>
      </w:r>
      <w:proofErr w:type="spellStart"/>
      <w:r w:rsidRPr="00A94CAB">
        <w:rPr>
          <w:rFonts w:ascii="Arial" w:hAnsi="Arial" w:cs="Arial"/>
          <w:sz w:val="22"/>
          <w:szCs w:val="22"/>
        </w:rPr>
        <w:t>CPest</w:t>
      </w:r>
      <w:proofErr w:type="spellEnd"/>
      <w:r w:rsidRPr="00A94CAB">
        <w:rPr>
          <w:rFonts w:ascii="Arial" w:hAnsi="Arial" w:cs="Arial"/>
          <w:sz w:val="22"/>
          <w:szCs w:val="22"/>
        </w:rPr>
        <w:t xml:space="preserve">) most reliably differentiated placebo- from baricitinib-treated participants at 24 and 48 weeks. Beta2 score, derived from fasting glucose, C-peptide, HbA1c and insulin dose at 12 weeks, was optimal for predicting </w:t>
      </w:r>
      <w:r w:rsidR="00814BA5" w:rsidRPr="00A94CAB">
        <w:rPr>
          <w:rFonts w:ascii="Arial" w:hAnsi="Arial" w:cs="Arial"/>
          <w:sz w:val="22"/>
          <w:szCs w:val="22"/>
        </w:rPr>
        <w:t>beta cell preservation</w:t>
      </w:r>
      <w:r w:rsidRPr="00A94CAB">
        <w:rPr>
          <w:rFonts w:ascii="Arial" w:hAnsi="Arial" w:cs="Arial"/>
          <w:sz w:val="22"/>
          <w:szCs w:val="22"/>
        </w:rPr>
        <w:t xml:space="preserve"> following one year of treatment with baricitinib and the other immunotherapies (areas under receiver-operator curve 0.864 and 0.765 respectively). A 6.2% decrease in Beta2 score at week 12 predicted significant improvement in HbA1c (-0.6% or -6 mmol/mol) and insulin use (-0.26 units/kg/day) in combined data from the rituximab, abatacept and anti-thymocyte globulin trials.</w:t>
      </w:r>
    </w:p>
    <w:p w14:paraId="36B7C6EC" w14:textId="77777777" w:rsidR="002862BB" w:rsidRPr="00A94CAB" w:rsidRDefault="002862BB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2AC6268" w14:textId="22BC8E9C" w:rsidR="002862BB" w:rsidRPr="00A94CAB" w:rsidRDefault="002862BB" w:rsidP="00A94CA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94CAB">
        <w:rPr>
          <w:rFonts w:ascii="Arial" w:hAnsi="Arial" w:cs="Arial"/>
          <w:b/>
          <w:bCs/>
          <w:sz w:val="22"/>
          <w:szCs w:val="22"/>
        </w:rPr>
        <w:t>Conclusions</w:t>
      </w:r>
    </w:p>
    <w:p w14:paraId="2A47E26F" w14:textId="77777777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 xml:space="preserve">QRS, fasting C-peptide and </w:t>
      </w:r>
      <w:proofErr w:type="spellStart"/>
      <w:r w:rsidRPr="00A94CAB">
        <w:rPr>
          <w:rFonts w:ascii="Arial" w:hAnsi="Arial" w:cs="Arial"/>
          <w:sz w:val="22"/>
          <w:szCs w:val="22"/>
        </w:rPr>
        <w:t>CPest</w:t>
      </w:r>
      <w:proofErr w:type="spellEnd"/>
      <w:r w:rsidRPr="00A94CAB">
        <w:rPr>
          <w:rFonts w:ascii="Arial" w:hAnsi="Arial" w:cs="Arial"/>
          <w:sz w:val="22"/>
          <w:szCs w:val="22"/>
        </w:rPr>
        <w:t xml:space="preserve"> could be used as more efficient, less burdensome</w:t>
      </w:r>
    </w:p>
    <w:p w14:paraId="55FCCBEE" w14:textId="0ABE8F6B" w:rsidR="002862BB" w:rsidRPr="00A94CAB" w:rsidRDefault="002862BB" w:rsidP="00A94CA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94CAB">
        <w:rPr>
          <w:rFonts w:ascii="Arial" w:hAnsi="Arial" w:cs="Arial"/>
          <w:sz w:val="22"/>
          <w:szCs w:val="22"/>
        </w:rPr>
        <w:t>primary outcome measures for future immunotherapy trials. The ability of Beta2 score to predict treatment responses could facilitate adaptive trial designs and help guide treatment decisions in the clinic.</w:t>
      </w:r>
    </w:p>
    <w:sectPr w:rsidR="002862BB" w:rsidRPr="00A94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CFA"/>
    <w:multiLevelType w:val="hybridMultilevel"/>
    <w:tmpl w:val="3B1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BB"/>
    <w:rsid w:val="00020742"/>
    <w:rsid w:val="00056D11"/>
    <w:rsid w:val="000626E0"/>
    <w:rsid w:val="00093CFD"/>
    <w:rsid w:val="000A5412"/>
    <w:rsid w:val="000B7870"/>
    <w:rsid w:val="0015346F"/>
    <w:rsid w:val="002158DA"/>
    <w:rsid w:val="00280D0F"/>
    <w:rsid w:val="002862BB"/>
    <w:rsid w:val="002A2741"/>
    <w:rsid w:val="002B31AE"/>
    <w:rsid w:val="002B7D89"/>
    <w:rsid w:val="002C6F24"/>
    <w:rsid w:val="002D4892"/>
    <w:rsid w:val="002E12AC"/>
    <w:rsid w:val="002E4688"/>
    <w:rsid w:val="003139E9"/>
    <w:rsid w:val="0033408F"/>
    <w:rsid w:val="003455B2"/>
    <w:rsid w:val="003C780C"/>
    <w:rsid w:val="004509C9"/>
    <w:rsid w:val="0049653C"/>
    <w:rsid w:val="004F7B5F"/>
    <w:rsid w:val="005005D4"/>
    <w:rsid w:val="00520A69"/>
    <w:rsid w:val="005233F6"/>
    <w:rsid w:val="00543F6E"/>
    <w:rsid w:val="005817DE"/>
    <w:rsid w:val="005B5776"/>
    <w:rsid w:val="00604E9A"/>
    <w:rsid w:val="006C10DD"/>
    <w:rsid w:val="006D6AFA"/>
    <w:rsid w:val="00707C50"/>
    <w:rsid w:val="00743A35"/>
    <w:rsid w:val="00761E2B"/>
    <w:rsid w:val="00767829"/>
    <w:rsid w:val="00814100"/>
    <w:rsid w:val="00814BA5"/>
    <w:rsid w:val="00830FAD"/>
    <w:rsid w:val="008639D3"/>
    <w:rsid w:val="008B0D23"/>
    <w:rsid w:val="008F460F"/>
    <w:rsid w:val="00921493"/>
    <w:rsid w:val="009850FE"/>
    <w:rsid w:val="009E2491"/>
    <w:rsid w:val="00A03E15"/>
    <w:rsid w:val="00A94CAB"/>
    <w:rsid w:val="00AB38D0"/>
    <w:rsid w:val="00AD2F21"/>
    <w:rsid w:val="00AD4362"/>
    <w:rsid w:val="00AE02E8"/>
    <w:rsid w:val="00B2464A"/>
    <w:rsid w:val="00B27386"/>
    <w:rsid w:val="00B31223"/>
    <w:rsid w:val="00B46413"/>
    <w:rsid w:val="00B4693F"/>
    <w:rsid w:val="00B55CCF"/>
    <w:rsid w:val="00B61892"/>
    <w:rsid w:val="00B63909"/>
    <w:rsid w:val="00C62A2D"/>
    <w:rsid w:val="00CB5EBA"/>
    <w:rsid w:val="00D00AB8"/>
    <w:rsid w:val="00D27FD2"/>
    <w:rsid w:val="00D74031"/>
    <w:rsid w:val="00DA69CC"/>
    <w:rsid w:val="00E41A2E"/>
    <w:rsid w:val="00E71456"/>
    <w:rsid w:val="00E75404"/>
    <w:rsid w:val="00EB1E42"/>
    <w:rsid w:val="00ED3098"/>
    <w:rsid w:val="00ED4FE9"/>
    <w:rsid w:val="00F71A51"/>
    <w:rsid w:val="00FB2955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A83E"/>
  <w15:chartTrackingRefBased/>
  <w15:docId w15:val="{2F801F48-ADDF-A845-B7FA-220F9D22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34EC1-93DE-43BF-976D-615238154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23FAD-B8FE-4016-88BE-AF91C328F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5EFF2-5712-41F3-8260-3A3E3B4AFDA1}">
  <ds:schemaRefs>
    <ds:schemaRef ds:uri="9c8a2b7b-0bee-4c48-b0a6-23db8982d3bc"/>
    <ds:schemaRef ds:uri="http://purl.org/dc/elements/1.1/"/>
    <ds:schemaRef ds:uri="cab52c9b-ab33-4221-8af9-54f8f2b86a80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11e96c-4cc4-42d5-8e43-f93924cf6a0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Wentworth</dc:creator>
  <cp:keywords/>
  <dc:description/>
  <cp:lastModifiedBy>Tanya Yandall</cp:lastModifiedBy>
  <cp:revision>3</cp:revision>
  <dcterms:created xsi:type="dcterms:W3CDTF">2025-05-26T23:59:00Z</dcterms:created>
  <dcterms:modified xsi:type="dcterms:W3CDTF">2025-05-26T23:59:00Z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