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463"/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9"/>
      </w:tblGrid>
      <w:tr w:rsidR="001564A4" w:rsidRPr="008D356F" w14:paraId="5C38377B" w14:textId="77777777" w:rsidTr="0047798C">
        <w:trPr>
          <w:trHeight w:val="639"/>
        </w:trPr>
        <w:tc>
          <w:tcPr>
            <w:tcW w:w="9139" w:type="dxa"/>
            <w:shd w:val="clear" w:color="auto" w:fill="auto"/>
          </w:tcPr>
          <w:p w14:paraId="5C44F357" w14:textId="470EB248" w:rsidR="001564A4" w:rsidRPr="00E55AE3" w:rsidRDefault="007833C0" w:rsidP="0047798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7833C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Diagnosis And Initial Decision-Making Process </w:t>
            </w:r>
            <w:proofErr w:type="gramStart"/>
            <w:r w:rsidRPr="007833C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</w:t>
            </w:r>
            <w:proofErr w:type="gramEnd"/>
            <w:r w:rsidRPr="007833C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The Management Of Idiopathic Pulmonary Fibrosis: Analysis from the Australian Idiopathic Pulmonary Fibrosis Registry</w:t>
            </w:r>
          </w:p>
        </w:tc>
      </w:tr>
      <w:tr w:rsidR="001564A4" w:rsidRPr="008D356F" w14:paraId="0E2E035C" w14:textId="77777777" w:rsidTr="0047798C">
        <w:trPr>
          <w:trHeight w:val="639"/>
        </w:trPr>
        <w:tc>
          <w:tcPr>
            <w:tcW w:w="9139" w:type="dxa"/>
            <w:shd w:val="clear" w:color="auto" w:fill="auto"/>
          </w:tcPr>
          <w:p w14:paraId="73B55295" w14:textId="16E48610" w:rsidR="001564A4" w:rsidRPr="00E55AE3" w:rsidRDefault="00D00497" w:rsidP="0047798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E55AE3">
              <w:rPr>
                <w:rFonts w:ascii="Arial" w:hAnsi="Arial" w:cs="Arial"/>
                <w:bCs/>
                <w:sz w:val="22"/>
                <w:szCs w:val="22"/>
                <w:lang w:val="en-US"/>
              </w:rPr>
              <w:t>Teoh AKY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1,2,3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US"/>
              </w:rPr>
              <w:t>, Jo HE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1,2,3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5AE3">
              <w:rPr>
                <w:rFonts w:ascii="Arial" w:hAnsi="Arial" w:cs="Arial"/>
                <w:bCs/>
                <w:sz w:val="22"/>
                <w:szCs w:val="22"/>
                <w:lang w:val="en-US"/>
              </w:rPr>
              <w:t>Tikellis</w:t>
            </w:r>
            <w:proofErr w:type="spellEnd"/>
            <w:r w:rsidRPr="00E55AE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G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3</w:t>
            </w:r>
            <w:r w:rsidR="00D439C8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,4</w:t>
            </w:r>
            <w:r w:rsidR="002424C1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,5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US"/>
              </w:rPr>
              <w:t>, Holland AE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3</w:t>
            </w:r>
            <w:r w:rsidR="00D23C36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,4,5,6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 w:rsidR="0034178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Glaspole</w:t>
            </w:r>
            <w:proofErr w:type="spellEnd"/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I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3,4,5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Moodley Y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3,</w:t>
            </w:r>
            <w:r w:rsidR="00D23C36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7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Walters EH</w:t>
            </w:r>
            <w:r w:rsidR="005D4801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8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Grainge C</w:t>
            </w:r>
            <w:r w:rsidR="005D4801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9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Hopkins P</w:t>
            </w:r>
            <w:r w:rsidR="005D4801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10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Reynolds P</w:t>
            </w:r>
            <w:r w:rsidR="005D4801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3,11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Chapman S</w:t>
            </w:r>
            <w:proofErr w:type="gramStart"/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1</w:t>
            </w:r>
            <w:r w:rsidR="005D4801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1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 Zappala</w:t>
            </w:r>
            <w:proofErr w:type="gramEnd"/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C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1</w:t>
            </w:r>
            <w:r w:rsidR="005D4801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2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Keir G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1</w:t>
            </w:r>
            <w:r w:rsidR="005D4801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3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Cooper W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1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Ellis S</w:t>
            </w:r>
            <w:r w:rsidR="00567939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4,5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Macansh</w:t>
            </w:r>
            <w:proofErr w:type="spellEnd"/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S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1</w:t>
            </w:r>
            <w:r w:rsidR="00D23C36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4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AU"/>
              </w:rPr>
              <w:t>, Goh NSL</w:t>
            </w:r>
            <w:r w:rsidR="00D23C36"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3,15</w:t>
            </w:r>
            <w:r w:rsidRPr="00E55AE3">
              <w:rPr>
                <w:rFonts w:ascii="Arial" w:hAnsi="Arial" w:cs="Arial"/>
                <w:bCs/>
                <w:sz w:val="22"/>
                <w:szCs w:val="22"/>
                <w:lang w:val="en-US"/>
              </w:rPr>
              <w:t>, Corte TJ</w:t>
            </w:r>
            <w:r w:rsidRPr="00E55AE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1,2,3</w:t>
            </w:r>
          </w:p>
        </w:tc>
      </w:tr>
      <w:tr w:rsidR="001564A4" w:rsidRPr="008D356F" w14:paraId="385A19D9" w14:textId="77777777" w:rsidTr="0047798C">
        <w:trPr>
          <w:trHeight w:val="181"/>
        </w:trPr>
        <w:tc>
          <w:tcPr>
            <w:tcW w:w="9139" w:type="dxa"/>
            <w:shd w:val="clear" w:color="auto" w:fill="auto"/>
          </w:tcPr>
          <w:p w14:paraId="45ED36BF" w14:textId="472DE0AE" w:rsidR="001564A4" w:rsidRPr="00E55AE3" w:rsidRDefault="00D00497" w:rsidP="0047798C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1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Royal Prince Alfred Hospital, Sydney;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 xml:space="preserve"> 2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The University of Sydney, Sydney; 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3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N</w:t>
            </w:r>
            <w:r w:rsidR="0047798C"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HMRC 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Centre of Research Excellence in Pulmonary Fibrosis, Sydney; 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4</w:t>
            </w:r>
            <w:r w:rsidR="0047798C"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Monash University, Melbourne, </w:t>
            </w:r>
            <w:r w:rsidR="00C0530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5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Alfred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 Health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, Melbourne; </w:t>
            </w:r>
            <w:r w:rsidR="00D23C36" w:rsidRPr="008D356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6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Institute for Breathing and Sleep, Melbourne; 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7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Fiona Stanley Hospital, Perth; 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8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University of Tasmania, Hobart; 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9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John Hunter Hospital, Newcastle;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 xml:space="preserve"> 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10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The Prince Charles Hospital, Brisbane; 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11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Royal Adelaide Hospital, Adelaide; 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1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2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Royal Brisbane &amp; Women’s Hospital, Brisbane;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 xml:space="preserve"> 1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3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Princess Alexandria Hospital, Brisbane;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 xml:space="preserve"> 1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4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Lung Foundation Australia, Brisbane; </w:t>
            </w:r>
            <w:r w:rsidR="00D23C36"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15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 xml:space="preserve"> </w:t>
            </w:r>
            <w:r w:rsidRPr="00E55AE3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Austin Hospital, Melbourne.</w:t>
            </w:r>
          </w:p>
        </w:tc>
      </w:tr>
      <w:tr w:rsidR="001564A4" w:rsidRPr="008D356F" w14:paraId="6DAF615A" w14:textId="77777777" w:rsidTr="008D356F">
        <w:trPr>
          <w:trHeight w:hRule="exact" w:val="9648"/>
        </w:trPr>
        <w:tc>
          <w:tcPr>
            <w:tcW w:w="9139" w:type="dxa"/>
            <w:shd w:val="clear" w:color="auto" w:fill="auto"/>
          </w:tcPr>
          <w:p w14:paraId="1295A981" w14:textId="29109FF9" w:rsidR="00156A23" w:rsidRPr="008D356F" w:rsidRDefault="001564A4" w:rsidP="008D356F">
            <w:pPr>
              <w:pStyle w:val="Pa12"/>
              <w:jc w:val="both"/>
              <w:rPr>
                <w:sz w:val="22"/>
                <w:szCs w:val="22"/>
              </w:rPr>
            </w:pPr>
            <w:r w:rsidRPr="00E55AE3">
              <w:rPr>
                <w:rStyle w:val="A4"/>
                <w:b/>
                <w:bCs/>
              </w:rPr>
              <w:t xml:space="preserve">Introduction/Aim: </w:t>
            </w:r>
            <w:r w:rsidR="00156A23" w:rsidRPr="008D356F">
              <w:rPr>
                <w:sz w:val="22"/>
                <w:szCs w:val="22"/>
              </w:rPr>
              <w:t xml:space="preserve">Idiopathic pulmonary fibrosis (IPF) is characterised by relentless disease progression and worsening quality of life (QOL). </w:t>
            </w:r>
            <w:r w:rsidR="006F29FF" w:rsidRPr="008D356F">
              <w:rPr>
                <w:sz w:val="22"/>
                <w:szCs w:val="22"/>
              </w:rPr>
              <w:t>The a</w:t>
            </w:r>
            <w:r w:rsidR="006C07CD" w:rsidRPr="008D356F">
              <w:rPr>
                <w:sz w:val="22"/>
                <w:szCs w:val="22"/>
              </w:rPr>
              <w:t>ntifibrotic agents</w:t>
            </w:r>
            <w:r w:rsidR="00B23541" w:rsidRPr="008D356F">
              <w:rPr>
                <w:sz w:val="22"/>
                <w:szCs w:val="22"/>
              </w:rPr>
              <w:t xml:space="preserve">, </w:t>
            </w:r>
            <w:r w:rsidR="006C07CD" w:rsidRPr="008D356F">
              <w:rPr>
                <w:sz w:val="22"/>
                <w:szCs w:val="22"/>
              </w:rPr>
              <w:t>nintedanib and pirfenidone</w:t>
            </w:r>
            <w:r w:rsidR="003E0618" w:rsidRPr="008D356F">
              <w:rPr>
                <w:sz w:val="22"/>
                <w:szCs w:val="22"/>
              </w:rPr>
              <w:t xml:space="preserve"> can</w:t>
            </w:r>
            <w:r w:rsidR="006C07CD" w:rsidRPr="008D356F">
              <w:rPr>
                <w:sz w:val="22"/>
                <w:szCs w:val="22"/>
              </w:rPr>
              <w:t xml:space="preserve"> improve progression-free survival and reduce </w:t>
            </w:r>
            <w:r w:rsidR="00C27B97" w:rsidRPr="008D356F">
              <w:rPr>
                <w:sz w:val="22"/>
                <w:szCs w:val="22"/>
              </w:rPr>
              <w:t>FVC</w:t>
            </w:r>
            <w:r w:rsidR="006C07CD" w:rsidRPr="008D356F">
              <w:rPr>
                <w:sz w:val="22"/>
                <w:szCs w:val="22"/>
              </w:rPr>
              <w:t xml:space="preserve"> decline</w:t>
            </w:r>
            <w:r w:rsidR="00156A23" w:rsidRPr="008D356F">
              <w:rPr>
                <w:sz w:val="22"/>
                <w:szCs w:val="22"/>
              </w:rPr>
              <w:t xml:space="preserve">. </w:t>
            </w:r>
            <w:r w:rsidR="006C07CD" w:rsidRPr="008D356F">
              <w:rPr>
                <w:sz w:val="22"/>
                <w:szCs w:val="22"/>
              </w:rPr>
              <w:t>Decision</w:t>
            </w:r>
            <w:r w:rsidR="00387CB2" w:rsidRPr="008D356F">
              <w:rPr>
                <w:sz w:val="22"/>
                <w:szCs w:val="22"/>
              </w:rPr>
              <w:t>s</w:t>
            </w:r>
            <w:r w:rsidR="006C07CD" w:rsidRPr="008D356F">
              <w:rPr>
                <w:sz w:val="22"/>
                <w:szCs w:val="22"/>
              </w:rPr>
              <w:t xml:space="preserve"> on agent choice is variable </w:t>
            </w:r>
            <w:r w:rsidR="006F29FF" w:rsidRPr="008D356F">
              <w:rPr>
                <w:sz w:val="22"/>
                <w:szCs w:val="22"/>
              </w:rPr>
              <w:t xml:space="preserve">in the absence of </w:t>
            </w:r>
            <w:r w:rsidR="006C07CD" w:rsidRPr="008D356F">
              <w:rPr>
                <w:sz w:val="22"/>
                <w:szCs w:val="22"/>
              </w:rPr>
              <w:t>clear guideline</w:t>
            </w:r>
            <w:r w:rsidR="006F29FF" w:rsidRPr="008D356F">
              <w:rPr>
                <w:sz w:val="22"/>
                <w:szCs w:val="22"/>
              </w:rPr>
              <w:t xml:space="preserve">s </w:t>
            </w:r>
            <w:r w:rsidR="006C07CD" w:rsidRPr="008D356F">
              <w:rPr>
                <w:sz w:val="22"/>
                <w:szCs w:val="22"/>
              </w:rPr>
              <w:t>for physicians. We aimed to explore decision-making processes involved in the management of IPF in Australia.</w:t>
            </w:r>
          </w:p>
          <w:p w14:paraId="3D770CF7" w14:textId="77777777" w:rsidR="001564A4" w:rsidRPr="00E55AE3" w:rsidRDefault="001564A4" w:rsidP="0047798C">
            <w:pPr>
              <w:pStyle w:val="Pa12"/>
              <w:jc w:val="both"/>
              <w:rPr>
                <w:rStyle w:val="A4"/>
                <w:bCs/>
              </w:rPr>
            </w:pPr>
          </w:p>
          <w:p w14:paraId="5029BAE6" w14:textId="3617CD86" w:rsidR="001564A4" w:rsidRPr="00E55AE3" w:rsidRDefault="001564A4" w:rsidP="0047798C">
            <w:pPr>
              <w:pStyle w:val="Pa12"/>
              <w:jc w:val="both"/>
              <w:rPr>
                <w:sz w:val="22"/>
                <w:szCs w:val="22"/>
              </w:rPr>
            </w:pPr>
            <w:r w:rsidRPr="00E55AE3">
              <w:rPr>
                <w:rStyle w:val="A4"/>
                <w:b/>
                <w:bCs/>
              </w:rPr>
              <w:t xml:space="preserve">Methods: </w:t>
            </w:r>
            <w:r w:rsidR="006C07CD" w:rsidRPr="00E55AE3">
              <w:rPr>
                <w:sz w:val="22"/>
                <w:szCs w:val="22"/>
              </w:rPr>
              <w:t xml:space="preserve">Consecutive participants diagnosed with IPF across </w:t>
            </w:r>
            <w:r w:rsidR="00E55AE3" w:rsidRPr="00E55AE3">
              <w:rPr>
                <w:sz w:val="22"/>
                <w:szCs w:val="22"/>
              </w:rPr>
              <w:t>8</w:t>
            </w:r>
            <w:r w:rsidR="006C07CD" w:rsidRPr="00E55AE3">
              <w:rPr>
                <w:sz w:val="22"/>
                <w:szCs w:val="22"/>
              </w:rPr>
              <w:t xml:space="preserve"> sites were </w:t>
            </w:r>
            <w:r w:rsidR="00CD27D3" w:rsidRPr="00E55AE3">
              <w:rPr>
                <w:sz w:val="22"/>
                <w:szCs w:val="22"/>
              </w:rPr>
              <w:t>invited</w:t>
            </w:r>
            <w:r w:rsidR="006C07CD" w:rsidRPr="00E55AE3">
              <w:rPr>
                <w:sz w:val="22"/>
                <w:szCs w:val="22"/>
              </w:rPr>
              <w:t xml:space="preserve"> </w:t>
            </w:r>
            <w:r w:rsidR="006F29FF" w:rsidRPr="00E55AE3">
              <w:rPr>
                <w:sz w:val="22"/>
                <w:szCs w:val="22"/>
              </w:rPr>
              <w:t>i</w:t>
            </w:r>
            <w:r w:rsidR="006C07CD" w:rsidRPr="00E55AE3">
              <w:rPr>
                <w:sz w:val="22"/>
                <w:szCs w:val="22"/>
              </w:rPr>
              <w:t>nto the Australian IPF Registry (AIPFR).</w:t>
            </w:r>
            <w:r w:rsidR="00CD27D3" w:rsidRPr="00E55AE3">
              <w:rPr>
                <w:sz w:val="22"/>
                <w:szCs w:val="22"/>
              </w:rPr>
              <w:t xml:space="preserve"> Inclusion criteria were a new IPF diagnosis </w:t>
            </w:r>
            <w:r w:rsidR="003E0618" w:rsidRPr="00E55AE3">
              <w:rPr>
                <w:sz w:val="22"/>
                <w:szCs w:val="22"/>
              </w:rPr>
              <w:t xml:space="preserve">attained </w:t>
            </w:r>
            <w:r w:rsidR="00CD27D3" w:rsidRPr="00E55AE3">
              <w:rPr>
                <w:sz w:val="22"/>
                <w:szCs w:val="22"/>
              </w:rPr>
              <w:t xml:space="preserve">through </w:t>
            </w:r>
            <w:r w:rsidR="006F29FF" w:rsidRPr="00E55AE3">
              <w:rPr>
                <w:sz w:val="22"/>
                <w:szCs w:val="22"/>
              </w:rPr>
              <w:t>local</w:t>
            </w:r>
            <w:r w:rsidR="00CD27D3" w:rsidRPr="00E55AE3">
              <w:rPr>
                <w:sz w:val="22"/>
                <w:szCs w:val="22"/>
              </w:rPr>
              <w:t xml:space="preserve"> multidisciplinary meeting</w:t>
            </w:r>
            <w:r w:rsidR="0028719A" w:rsidRPr="00E55AE3">
              <w:rPr>
                <w:sz w:val="22"/>
                <w:szCs w:val="22"/>
              </w:rPr>
              <w:t>s</w:t>
            </w:r>
            <w:r w:rsidR="00CD27D3" w:rsidRPr="00E55AE3">
              <w:rPr>
                <w:sz w:val="22"/>
                <w:szCs w:val="22"/>
              </w:rPr>
              <w:t xml:space="preserve"> (MDM</w:t>
            </w:r>
            <w:r w:rsidR="0028719A" w:rsidRPr="00E55AE3">
              <w:rPr>
                <w:sz w:val="22"/>
                <w:szCs w:val="22"/>
              </w:rPr>
              <w:t>s</w:t>
            </w:r>
            <w:r w:rsidR="00CD27D3" w:rsidRPr="00E55AE3">
              <w:rPr>
                <w:sz w:val="22"/>
                <w:szCs w:val="22"/>
              </w:rPr>
              <w:t xml:space="preserve">) and </w:t>
            </w:r>
            <w:r w:rsidR="006F29FF" w:rsidRPr="00E55AE3">
              <w:rPr>
                <w:sz w:val="22"/>
                <w:szCs w:val="22"/>
              </w:rPr>
              <w:t xml:space="preserve">an </w:t>
            </w:r>
            <w:r w:rsidR="00CD27D3" w:rsidRPr="00E55AE3">
              <w:rPr>
                <w:sz w:val="22"/>
                <w:szCs w:val="22"/>
              </w:rPr>
              <w:t xml:space="preserve">age </w:t>
            </w:r>
            <w:r w:rsidR="00325920" w:rsidRPr="00E55AE3">
              <w:rPr>
                <w:sz w:val="22"/>
                <w:szCs w:val="22"/>
              </w:rPr>
              <w:t>&gt;</w:t>
            </w:r>
            <w:r w:rsidR="00CD27D3" w:rsidRPr="00E55AE3">
              <w:rPr>
                <w:sz w:val="22"/>
                <w:szCs w:val="22"/>
              </w:rPr>
              <w:t>18 years. Participants</w:t>
            </w:r>
            <w:r w:rsidR="00387CB2" w:rsidRPr="00E55AE3">
              <w:rPr>
                <w:sz w:val="22"/>
                <w:szCs w:val="22"/>
              </w:rPr>
              <w:t xml:space="preserve"> </w:t>
            </w:r>
            <w:r w:rsidR="00CD27D3" w:rsidRPr="00E55AE3">
              <w:rPr>
                <w:sz w:val="22"/>
                <w:szCs w:val="22"/>
              </w:rPr>
              <w:t>with a historic</w:t>
            </w:r>
            <w:r w:rsidR="00387CB2" w:rsidRPr="00E55AE3">
              <w:rPr>
                <w:sz w:val="22"/>
                <w:szCs w:val="22"/>
              </w:rPr>
              <w:t>al</w:t>
            </w:r>
            <w:r w:rsidR="00CD27D3" w:rsidRPr="00E55AE3">
              <w:rPr>
                <w:sz w:val="22"/>
                <w:szCs w:val="22"/>
              </w:rPr>
              <w:t xml:space="preserve"> diagnosis without recent MDM discussion</w:t>
            </w:r>
            <w:r w:rsidR="00387CB2" w:rsidRPr="00E55AE3">
              <w:rPr>
                <w:sz w:val="22"/>
                <w:szCs w:val="22"/>
              </w:rPr>
              <w:t xml:space="preserve">, were excluded. </w:t>
            </w:r>
            <w:r w:rsidR="008D356F">
              <w:rPr>
                <w:sz w:val="22"/>
                <w:szCs w:val="22"/>
              </w:rPr>
              <w:t>P</w:t>
            </w:r>
            <w:r w:rsidR="00387CB2" w:rsidRPr="00E55AE3">
              <w:rPr>
                <w:sz w:val="22"/>
                <w:szCs w:val="22"/>
              </w:rPr>
              <w:t>articipants and their respective physicians</w:t>
            </w:r>
            <w:r w:rsidR="008D356F">
              <w:rPr>
                <w:sz w:val="22"/>
                <w:szCs w:val="22"/>
              </w:rPr>
              <w:t xml:space="preserve"> completed baseline questionnaires</w:t>
            </w:r>
            <w:r w:rsidR="00387CB2" w:rsidRPr="00E55AE3">
              <w:rPr>
                <w:sz w:val="22"/>
                <w:szCs w:val="22"/>
              </w:rPr>
              <w:t>. Participants were invited to participate in semi-structured phone interview</w:t>
            </w:r>
            <w:r w:rsidR="00531CC4" w:rsidRPr="00E55AE3">
              <w:rPr>
                <w:sz w:val="22"/>
                <w:szCs w:val="22"/>
              </w:rPr>
              <w:t>s</w:t>
            </w:r>
            <w:r w:rsidR="00635426" w:rsidRPr="00E55AE3">
              <w:rPr>
                <w:sz w:val="22"/>
                <w:szCs w:val="22"/>
              </w:rPr>
              <w:t xml:space="preserve"> about their diagnostic and therapeutic journey</w:t>
            </w:r>
            <w:r w:rsidR="00531CC4" w:rsidRPr="00E55AE3">
              <w:rPr>
                <w:sz w:val="22"/>
                <w:szCs w:val="22"/>
              </w:rPr>
              <w:t>,</w:t>
            </w:r>
            <w:r w:rsidR="006F29FF" w:rsidRPr="00E55AE3">
              <w:rPr>
                <w:sz w:val="22"/>
                <w:szCs w:val="22"/>
              </w:rPr>
              <w:t xml:space="preserve"> </w:t>
            </w:r>
            <w:r w:rsidR="00FF3BA7" w:rsidRPr="00E55AE3">
              <w:rPr>
                <w:sz w:val="22"/>
                <w:szCs w:val="22"/>
              </w:rPr>
              <w:t>with thematic analysis used to identify themes</w:t>
            </w:r>
            <w:r w:rsidR="00387CB2" w:rsidRPr="00E55AE3">
              <w:rPr>
                <w:sz w:val="22"/>
                <w:szCs w:val="22"/>
              </w:rPr>
              <w:t>.</w:t>
            </w:r>
          </w:p>
          <w:p w14:paraId="3D4276B6" w14:textId="77777777" w:rsidR="00387CB2" w:rsidRPr="008D356F" w:rsidRDefault="00387CB2" w:rsidP="004779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5EABA93" w14:textId="7D90A01A" w:rsidR="00635426" w:rsidRPr="00E55AE3" w:rsidRDefault="001564A4" w:rsidP="0047798C">
            <w:pPr>
              <w:pStyle w:val="Pa12"/>
              <w:jc w:val="both"/>
              <w:rPr>
                <w:sz w:val="22"/>
                <w:szCs w:val="22"/>
              </w:rPr>
            </w:pPr>
            <w:r w:rsidRPr="00E55AE3">
              <w:rPr>
                <w:rStyle w:val="A4"/>
                <w:b/>
                <w:bCs/>
              </w:rPr>
              <w:t xml:space="preserve">Results: </w:t>
            </w:r>
            <w:r w:rsidR="00387CB2" w:rsidRPr="00E55AE3">
              <w:rPr>
                <w:sz w:val="22"/>
                <w:szCs w:val="22"/>
              </w:rPr>
              <w:t>Between July 2017 and January 2021, 185 participants were recruited with median age of 73.1 years</w:t>
            </w:r>
            <w:r w:rsidR="00DE1C52" w:rsidRPr="00E55AE3">
              <w:rPr>
                <w:sz w:val="22"/>
                <w:szCs w:val="22"/>
              </w:rPr>
              <w:t xml:space="preserve"> (67.9-77.5)</w:t>
            </w:r>
            <w:r w:rsidR="006F29FF" w:rsidRPr="00E55AE3">
              <w:rPr>
                <w:sz w:val="22"/>
                <w:szCs w:val="22"/>
              </w:rPr>
              <w:t xml:space="preserve">, </w:t>
            </w:r>
            <w:r w:rsidR="008969AF" w:rsidRPr="00E55AE3">
              <w:rPr>
                <w:sz w:val="22"/>
                <w:szCs w:val="22"/>
              </w:rPr>
              <w:t>and</w:t>
            </w:r>
            <w:r w:rsidR="00387CB2" w:rsidRPr="00E55AE3">
              <w:rPr>
                <w:sz w:val="22"/>
                <w:szCs w:val="22"/>
              </w:rPr>
              <w:t xml:space="preserve"> </w:t>
            </w:r>
            <w:r w:rsidR="008167C1" w:rsidRPr="00E55AE3">
              <w:rPr>
                <w:sz w:val="22"/>
                <w:szCs w:val="22"/>
              </w:rPr>
              <w:t xml:space="preserve">mostly </w:t>
            </w:r>
            <w:r w:rsidR="00387CB2" w:rsidRPr="00E55AE3">
              <w:rPr>
                <w:sz w:val="22"/>
                <w:szCs w:val="22"/>
              </w:rPr>
              <w:t>male (75%). Mean FVC% predicted was 87.6 (</w:t>
            </w:r>
            <w:r w:rsidR="00FF3BA7" w:rsidRPr="00E55AE3">
              <w:rPr>
                <w:sz w:val="22"/>
                <w:szCs w:val="22"/>
              </w:rPr>
              <w:t xml:space="preserve">SD </w:t>
            </w:r>
            <w:r w:rsidR="00387CB2" w:rsidRPr="00E55AE3">
              <w:rPr>
                <w:sz w:val="22"/>
                <w:szCs w:val="22"/>
              </w:rPr>
              <w:t>20.9) and mean DLCO% predicted 53.3 (</w:t>
            </w:r>
            <w:r w:rsidR="00FF3BA7" w:rsidRPr="00E55AE3">
              <w:rPr>
                <w:sz w:val="22"/>
                <w:szCs w:val="22"/>
              </w:rPr>
              <w:t>SD</w:t>
            </w:r>
            <w:r w:rsidR="00CD7774" w:rsidRPr="00E55AE3">
              <w:rPr>
                <w:sz w:val="22"/>
                <w:szCs w:val="22"/>
              </w:rPr>
              <w:t xml:space="preserve"> </w:t>
            </w:r>
            <w:r w:rsidR="00387CB2" w:rsidRPr="00E55AE3">
              <w:rPr>
                <w:sz w:val="22"/>
                <w:szCs w:val="22"/>
              </w:rPr>
              <w:t xml:space="preserve">15.4). </w:t>
            </w:r>
          </w:p>
          <w:p w14:paraId="4CCC79C6" w14:textId="77777777" w:rsidR="00635426" w:rsidRPr="00E55AE3" w:rsidRDefault="00635426" w:rsidP="0047798C">
            <w:pPr>
              <w:pStyle w:val="Pa12"/>
              <w:jc w:val="both"/>
              <w:rPr>
                <w:sz w:val="22"/>
                <w:szCs w:val="22"/>
              </w:rPr>
            </w:pPr>
          </w:p>
          <w:p w14:paraId="015A4C33" w14:textId="52271ADF" w:rsidR="00635426" w:rsidRPr="00E55AE3" w:rsidRDefault="00567939" w:rsidP="0047798C">
            <w:pPr>
              <w:pStyle w:val="Pa12"/>
              <w:jc w:val="both"/>
              <w:rPr>
                <w:sz w:val="22"/>
                <w:szCs w:val="22"/>
              </w:rPr>
            </w:pPr>
            <w:r w:rsidRPr="00E55AE3">
              <w:rPr>
                <w:sz w:val="22"/>
                <w:szCs w:val="22"/>
              </w:rPr>
              <w:t>27.5% of participants reported &gt;2 year</w:t>
            </w:r>
            <w:r w:rsidR="00635426" w:rsidRPr="00E55AE3">
              <w:rPr>
                <w:sz w:val="22"/>
                <w:szCs w:val="22"/>
              </w:rPr>
              <w:t>s</w:t>
            </w:r>
            <w:r w:rsidRPr="00E55AE3">
              <w:rPr>
                <w:sz w:val="22"/>
                <w:szCs w:val="22"/>
              </w:rPr>
              <w:t xml:space="preserve"> for their diagnosis to be reached</w:t>
            </w:r>
            <w:r w:rsidR="00FF3BA7" w:rsidRPr="00E55AE3">
              <w:rPr>
                <w:sz w:val="22"/>
                <w:szCs w:val="22"/>
              </w:rPr>
              <w:t>, with</w:t>
            </w:r>
            <w:r w:rsidR="001652F7" w:rsidRPr="00E55AE3">
              <w:rPr>
                <w:sz w:val="22"/>
                <w:szCs w:val="22"/>
              </w:rPr>
              <w:t xml:space="preserve"> </w:t>
            </w:r>
            <w:r w:rsidR="006F29FF" w:rsidRPr="00E55AE3">
              <w:rPr>
                <w:sz w:val="22"/>
                <w:szCs w:val="22"/>
              </w:rPr>
              <w:t xml:space="preserve">84% </w:t>
            </w:r>
            <w:r w:rsidR="00635426" w:rsidRPr="00E55AE3">
              <w:rPr>
                <w:sz w:val="22"/>
                <w:szCs w:val="22"/>
              </w:rPr>
              <w:t xml:space="preserve">not </w:t>
            </w:r>
            <w:r w:rsidR="006F29FF" w:rsidRPr="00E55AE3">
              <w:rPr>
                <w:sz w:val="22"/>
                <w:szCs w:val="22"/>
              </w:rPr>
              <w:t xml:space="preserve">being fully </w:t>
            </w:r>
            <w:r w:rsidR="00B23541" w:rsidRPr="00E55AE3">
              <w:rPr>
                <w:sz w:val="22"/>
                <w:szCs w:val="22"/>
              </w:rPr>
              <w:t xml:space="preserve">satisfied with </w:t>
            </w:r>
            <w:r w:rsidR="006F29FF" w:rsidRPr="00E55AE3">
              <w:rPr>
                <w:sz w:val="22"/>
                <w:szCs w:val="22"/>
              </w:rPr>
              <w:t xml:space="preserve">the </w:t>
            </w:r>
            <w:r w:rsidR="00B23541" w:rsidRPr="00E55AE3">
              <w:rPr>
                <w:sz w:val="22"/>
                <w:szCs w:val="22"/>
              </w:rPr>
              <w:t>time taken</w:t>
            </w:r>
            <w:r w:rsidRPr="00E55AE3">
              <w:rPr>
                <w:sz w:val="22"/>
                <w:szCs w:val="22"/>
              </w:rPr>
              <w:t>.</w:t>
            </w:r>
            <w:r w:rsidR="00E55AE3" w:rsidRPr="00E55AE3">
              <w:rPr>
                <w:sz w:val="22"/>
                <w:szCs w:val="22"/>
              </w:rPr>
              <w:t xml:space="preserve"> </w:t>
            </w:r>
            <w:r w:rsidR="00B23541" w:rsidRPr="00E55AE3">
              <w:rPr>
                <w:sz w:val="22"/>
                <w:szCs w:val="22"/>
              </w:rPr>
              <w:t>48%</w:t>
            </w:r>
            <w:r w:rsidR="003E0618" w:rsidRPr="00E55AE3">
              <w:rPr>
                <w:sz w:val="22"/>
                <w:szCs w:val="22"/>
              </w:rPr>
              <w:t xml:space="preserve"> of</w:t>
            </w:r>
            <w:r w:rsidR="00B23541" w:rsidRPr="00E55AE3">
              <w:rPr>
                <w:sz w:val="22"/>
                <w:szCs w:val="22"/>
              </w:rPr>
              <w:t xml:space="preserve"> participants </w:t>
            </w:r>
            <w:r w:rsidR="000E022C" w:rsidRPr="00E55AE3">
              <w:rPr>
                <w:sz w:val="22"/>
                <w:szCs w:val="22"/>
              </w:rPr>
              <w:t xml:space="preserve">initially </w:t>
            </w:r>
            <w:r w:rsidR="00B23541" w:rsidRPr="00E55AE3">
              <w:rPr>
                <w:sz w:val="22"/>
                <w:szCs w:val="22"/>
              </w:rPr>
              <w:t xml:space="preserve">received pirfenidone and 51% nintedanib. 42.5% perceived treatment choice to </w:t>
            </w:r>
            <w:r w:rsidR="006F29FF" w:rsidRPr="00E55AE3">
              <w:rPr>
                <w:sz w:val="22"/>
                <w:szCs w:val="22"/>
              </w:rPr>
              <w:t xml:space="preserve">have </w:t>
            </w:r>
            <w:r w:rsidR="00B23541" w:rsidRPr="00E55AE3">
              <w:rPr>
                <w:sz w:val="22"/>
                <w:szCs w:val="22"/>
              </w:rPr>
              <w:t>be</w:t>
            </w:r>
            <w:r w:rsidR="006F29FF" w:rsidRPr="00E55AE3">
              <w:rPr>
                <w:sz w:val="22"/>
                <w:szCs w:val="22"/>
              </w:rPr>
              <w:t>en</w:t>
            </w:r>
            <w:r w:rsidR="00B23541" w:rsidRPr="00E55AE3">
              <w:rPr>
                <w:sz w:val="22"/>
                <w:szCs w:val="22"/>
              </w:rPr>
              <w:t xml:space="preserve"> shared with their physician</w:t>
            </w:r>
            <w:r w:rsidR="00224F96" w:rsidRPr="00E55AE3">
              <w:rPr>
                <w:sz w:val="22"/>
                <w:szCs w:val="22"/>
              </w:rPr>
              <w:t xml:space="preserve">. </w:t>
            </w:r>
            <w:r w:rsidR="00DE1C52" w:rsidRPr="00E55AE3">
              <w:rPr>
                <w:sz w:val="22"/>
                <w:szCs w:val="22"/>
              </w:rPr>
              <w:t>M</w:t>
            </w:r>
            <w:r w:rsidR="00B23541" w:rsidRPr="00E55AE3">
              <w:rPr>
                <w:sz w:val="22"/>
                <w:szCs w:val="22"/>
              </w:rPr>
              <w:t xml:space="preserve">edication side effect </w:t>
            </w:r>
            <w:r w:rsidR="00DE1C52" w:rsidRPr="00E55AE3">
              <w:rPr>
                <w:sz w:val="22"/>
                <w:szCs w:val="22"/>
              </w:rPr>
              <w:t xml:space="preserve">profile </w:t>
            </w:r>
            <w:r w:rsidR="00B23541" w:rsidRPr="00E55AE3">
              <w:rPr>
                <w:sz w:val="22"/>
                <w:szCs w:val="22"/>
              </w:rPr>
              <w:t>was the main factor i</w:t>
            </w:r>
            <w:r w:rsidR="00206323" w:rsidRPr="00E55AE3">
              <w:rPr>
                <w:sz w:val="22"/>
                <w:szCs w:val="22"/>
              </w:rPr>
              <w:t>n</w:t>
            </w:r>
            <w:r w:rsidR="006F29FF" w:rsidRPr="00E55AE3">
              <w:rPr>
                <w:sz w:val="22"/>
                <w:szCs w:val="22"/>
              </w:rPr>
              <w:t>fluencing</w:t>
            </w:r>
            <w:r w:rsidR="00B23541" w:rsidRPr="00E55AE3">
              <w:rPr>
                <w:sz w:val="22"/>
                <w:szCs w:val="22"/>
              </w:rPr>
              <w:t xml:space="preserve"> treatment choice</w:t>
            </w:r>
            <w:r w:rsidR="00635426" w:rsidRPr="00E55AE3">
              <w:rPr>
                <w:sz w:val="22"/>
                <w:szCs w:val="22"/>
              </w:rPr>
              <w:t>. P</w:t>
            </w:r>
            <w:r w:rsidR="00B23541" w:rsidRPr="00E55AE3">
              <w:rPr>
                <w:sz w:val="22"/>
                <w:szCs w:val="22"/>
              </w:rPr>
              <w:t xml:space="preserve">articipants also </w:t>
            </w:r>
            <w:r w:rsidR="00635426" w:rsidRPr="00E55AE3">
              <w:rPr>
                <w:sz w:val="22"/>
                <w:szCs w:val="22"/>
              </w:rPr>
              <w:t>wanted</w:t>
            </w:r>
            <w:r w:rsidR="006F29FF" w:rsidRPr="00E55AE3">
              <w:rPr>
                <w:sz w:val="22"/>
                <w:szCs w:val="22"/>
              </w:rPr>
              <w:t xml:space="preserve"> </w:t>
            </w:r>
            <w:r w:rsidR="00B23541" w:rsidRPr="00E55AE3">
              <w:rPr>
                <w:sz w:val="22"/>
                <w:szCs w:val="22"/>
              </w:rPr>
              <w:t>more education on the rationale</w:t>
            </w:r>
            <w:r w:rsidR="008969AF" w:rsidRPr="00E55AE3">
              <w:rPr>
                <w:sz w:val="22"/>
                <w:szCs w:val="22"/>
              </w:rPr>
              <w:t xml:space="preserve"> of treatment and how to better manage potential side effects.</w:t>
            </w:r>
            <w:r w:rsidR="00224F96" w:rsidRPr="00E55AE3">
              <w:rPr>
                <w:sz w:val="22"/>
                <w:szCs w:val="22"/>
              </w:rPr>
              <w:t xml:space="preserve"> </w:t>
            </w:r>
          </w:p>
          <w:p w14:paraId="514E3184" w14:textId="77777777" w:rsidR="00635426" w:rsidRPr="00E55AE3" w:rsidRDefault="00635426" w:rsidP="0047798C">
            <w:pPr>
              <w:pStyle w:val="Pa12"/>
              <w:jc w:val="both"/>
              <w:rPr>
                <w:sz w:val="22"/>
                <w:szCs w:val="22"/>
              </w:rPr>
            </w:pPr>
          </w:p>
          <w:p w14:paraId="0BAB7019" w14:textId="7DD5DAB6" w:rsidR="00B23541" w:rsidRPr="00E55AE3" w:rsidRDefault="00224F96" w:rsidP="0047798C">
            <w:pPr>
              <w:pStyle w:val="Pa12"/>
              <w:jc w:val="both"/>
              <w:rPr>
                <w:sz w:val="22"/>
                <w:szCs w:val="22"/>
              </w:rPr>
            </w:pPr>
            <w:r w:rsidRPr="00E55AE3">
              <w:rPr>
                <w:sz w:val="22"/>
                <w:szCs w:val="22"/>
              </w:rPr>
              <w:t xml:space="preserve">28 participants </w:t>
            </w:r>
            <w:r w:rsidR="00325920" w:rsidRPr="00E55AE3">
              <w:rPr>
                <w:sz w:val="22"/>
                <w:szCs w:val="22"/>
              </w:rPr>
              <w:t>took part in phone interviews</w:t>
            </w:r>
            <w:r w:rsidR="00635426" w:rsidRPr="00E55AE3">
              <w:rPr>
                <w:sz w:val="22"/>
                <w:szCs w:val="22"/>
              </w:rPr>
              <w:t xml:space="preserve">. </w:t>
            </w:r>
            <w:r w:rsidR="008D356F">
              <w:rPr>
                <w:sz w:val="22"/>
                <w:szCs w:val="22"/>
              </w:rPr>
              <w:t>A variety of responses were arranged into major themes</w:t>
            </w:r>
            <w:r w:rsidR="00325920" w:rsidRPr="00E55AE3">
              <w:rPr>
                <w:sz w:val="22"/>
                <w:szCs w:val="22"/>
              </w:rPr>
              <w:t xml:space="preserve"> </w:t>
            </w:r>
            <w:r w:rsidR="008D356F">
              <w:rPr>
                <w:sz w:val="22"/>
                <w:szCs w:val="22"/>
              </w:rPr>
              <w:t>including</w:t>
            </w:r>
            <w:r w:rsidR="00206323" w:rsidRPr="00E55AE3">
              <w:rPr>
                <w:sz w:val="22"/>
                <w:szCs w:val="22"/>
              </w:rPr>
              <w:t xml:space="preserve"> </w:t>
            </w:r>
            <w:r w:rsidR="00325920" w:rsidRPr="00E55AE3">
              <w:rPr>
                <w:sz w:val="22"/>
                <w:szCs w:val="22"/>
              </w:rPr>
              <w:t xml:space="preserve">initial </w:t>
            </w:r>
            <w:r w:rsidR="00635426" w:rsidRPr="00E55AE3">
              <w:rPr>
                <w:sz w:val="22"/>
                <w:szCs w:val="22"/>
              </w:rPr>
              <w:t>response</w:t>
            </w:r>
            <w:r w:rsidR="00567939" w:rsidRPr="00E55AE3">
              <w:rPr>
                <w:sz w:val="22"/>
                <w:szCs w:val="22"/>
              </w:rPr>
              <w:t xml:space="preserve"> </w:t>
            </w:r>
            <w:r w:rsidR="00635426" w:rsidRPr="00E55AE3">
              <w:rPr>
                <w:sz w:val="22"/>
                <w:szCs w:val="22"/>
              </w:rPr>
              <w:t xml:space="preserve">to </w:t>
            </w:r>
            <w:r w:rsidRPr="00E55AE3">
              <w:rPr>
                <w:sz w:val="22"/>
                <w:szCs w:val="22"/>
              </w:rPr>
              <w:t>diagnosis, discussion</w:t>
            </w:r>
            <w:r w:rsidR="00635426" w:rsidRPr="00E55AE3">
              <w:rPr>
                <w:sz w:val="22"/>
                <w:szCs w:val="22"/>
              </w:rPr>
              <w:t xml:space="preserve"> with physician</w:t>
            </w:r>
            <w:r w:rsidRPr="00E55AE3">
              <w:rPr>
                <w:sz w:val="22"/>
                <w:szCs w:val="22"/>
              </w:rPr>
              <w:t xml:space="preserve"> </w:t>
            </w:r>
            <w:r w:rsidR="00206323" w:rsidRPr="00E55AE3">
              <w:rPr>
                <w:sz w:val="22"/>
                <w:szCs w:val="22"/>
              </w:rPr>
              <w:t>about</w:t>
            </w:r>
            <w:r w:rsidRPr="00E55AE3">
              <w:rPr>
                <w:sz w:val="22"/>
                <w:szCs w:val="22"/>
              </w:rPr>
              <w:t xml:space="preserve"> </w:t>
            </w:r>
            <w:r w:rsidR="00635426" w:rsidRPr="00E55AE3">
              <w:rPr>
                <w:sz w:val="22"/>
                <w:szCs w:val="22"/>
              </w:rPr>
              <w:t xml:space="preserve">commencing </w:t>
            </w:r>
            <w:r w:rsidRPr="00E55AE3">
              <w:rPr>
                <w:sz w:val="22"/>
                <w:szCs w:val="22"/>
              </w:rPr>
              <w:t>antifibrotics and perception</w:t>
            </w:r>
            <w:r w:rsidR="00206323" w:rsidRPr="00E55AE3">
              <w:rPr>
                <w:sz w:val="22"/>
                <w:szCs w:val="22"/>
              </w:rPr>
              <w:t xml:space="preserve">s </w:t>
            </w:r>
            <w:r w:rsidRPr="00E55AE3">
              <w:rPr>
                <w:sz w:val="22"/>
                <w:szCs w:val="22"/>
              </w:rPr>
              <w:t xml:space="preserve">of </w:t>
            </w:r>
            <w:r w:rsidR="00206323" w:rsidRPr="00E55AE3">
              <w:rPr>
                <w:sz w:val="22"/>
                <w:szCs w:val="22"/>
              </w:rPr>
              <w:t xml:space="preserve">patient </w:t>
            </w:r>
            <w:r w:rsidRPr="00E55AE3">
              <w:rPr>
                <w:sz w:val="22"/>
                <w:szCs w:val="22"/>
              </w:rPr>
              <w:t>autonomy in decision-making process.</w:t>
            </w:r>
          </w:p>
          <w:p w14:paraId="68537800" w14:textId="064EC346" w:rsidR="001564A4" w:rsidRPr="00E55AE3" w:rsidRDefault="001564A4" w:rsidP="0047798C">
            <w:pPr>
              <w:pStyle w:val="Pa12"/>
              <w:jc w:val="both"/>
              <w:rPr>
                <w:rStyle w:val="A4"/>
                <w:color w:val="auto"/>
              </w:rPr>
            </w:pPr>
          </w:p>
          <w:p w14:paraId="69B04572" w14:textId="4466E064" w:rsidR="001564A4" w:rsidRPr="00E55AE3" w:rsidRDefault="001564A4" w:rsidP="0047798C">
            <w:pPr>
              <w:pStyle w:val="Pa12"/>
              <w:jc w:val="both"/>
              <w:rPr>
                <w:sz w:val="22"/>
                <w:szCs w:val="22"/>
              </w:rPr>
            </w:pPr>
            <w:r w:rsidRPr="00E55AE3">
              <w:rPr>
                <w:rStyle w:val="A4"/>
                <w:b/>
                <w:bCs/>
              </w:rPr>
              <w:t xml:space="preserve">Conclusion: </w:t>
            </w:r>
            <w:r w:rsidR="00CD7774" w:rsidRPr="00E55AE3">
              <w:rPr>
                <w:sz w:val="22"/>
                <w:szCs w:val="22"/>
              </w:rPr>
              <w:t>Patient perceptions and satisfaction</w:t>
            </w:r>
            <w:proofErr w:type="spellStart"/>
            <w:r w:rsidR="00CD7774" w:rsidRPr="00E55AE3">
              <w:rPr>
                <w:sz w:val="22"/>
                <w:szCs w:val="22"/>
              </w:rPr>
              <w:t xml:space="preserve"> </w:t>
            </w:r>
            <w:proofErr w:type="spellEnd"/>
            <w:r w:rsidR="00CD7774" w:rsidRPr="00E55AE3">
              <w:rPr>
                <w:sz w:val="22"/>
                <w:szCs w:val="22"/>
              </w:rPr>
              <w:t>on the management of IPF is variable in Australia. Medication side effect profile heavily influenced agent choice</w:t>
            </w:r>
            <w:r w:rsidR="00731C41" w:rsidRPr="00E55AE3">
              <w:rPr>
                <w:sz w:val="22"/>
                <w:szCs w:val="22"/>
              </w:rPr>
              <w:t xml:space="preserve"> while further work is needed to improve patient experiences.</w:t>
            </w:r>
          </w:p>
          <w:p w14:paraId="196E7BAC" w14:textId="2BB9A3EE" w:rsidR="001564A4" w:rsidRPr="00E55AE3" w:rsidRDefault="001564A4" w:rsidP="0047798C">
            <w:pPr>
              <w:pStyle w:val="Pa12"/>
              <w:jc w:val="both"/>
              <w:rPr>
                <w:rStyle w:val="A4"/>
                <w:bCs/>
              </w:rPr>
            </w:pPr>
          </w:p>
          <w:p w14:paraId="04D3EB1F" w14:textId="32DE1102" w:rsidR="00D00497" w:rsidRPr="00E55AE3" w:rsidRDefault="001564A4" w:rsidP="004779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5AE3">
              <w:rPr>
                <w:rStyle w:val="A4"/>
                <w:rFonts w:ascii="Arial" w:hAnsi="Arial" w:cs="Arial"/>
                <w:b/>
                <w:bCs/>
              </w:rPr>
              <w:t xml:space="preserve">Grant Support: </w:t>
            </w:r>
            <w:r w:rsidR="00FD1AED" w:rsidRPr="00E55AE3">
              <w:rPr>
                <w:rFonts w:ascii="Arial" w:hAnsi="Arial" w:cs="Arial"/>
                <w:color w:val="000000"/>
                <w:sz w:val="22"/>
                <w:szCs w:val="22"/>
              </w:rPr>
              <w:t>The AIPFR is an initiative of Lung Foundation Australia and is supported by foundation partners Boehringer Ingelheim and Roche Products Pty Ltd.</w:t>
            </w:r>
          </w:p>
          <w:p w14:paraId="55A48771" w14:textId="77777777" w:rsidR="008D356F" w:rsidRDefault="008D356F" w:rsidP="0047798C">
            <w:pPr>
              <w:pStyle w:val="Pa12"/>
              <w:rPr>
                <w:sz w:val="22"/>
                <w:szCs w:val="22"/>
              </w:rPr>
            </w:pPr>
          </w:p>
          <w:p w14:paraId="7F8381F0" w14:textId="720F6A90" w:rsidR="001564A4" w:rsidRPr="00E55AE3" w:rsidRDefault="008D356F" w:rsidP="0047798C">
            <w:pPr>
              <w:pStyle w:val="Pa12"/>
              <w:rPr>
                <w:sz w:val="22"/>
                <w:szCs w:val="22"/>
              </w:rPr>
            </w:pPr>
            <w:r w:rsidRPr="00A50858">
              <w:rPr>
                <w:b/>
                <w:bCs/>
                <w:sz w:val="22"/>
                <w:szCs w:val="22"/>
              </w:rPr>
              <w:t>Keywords:</w:t>
            </w:r>
            <w:r w:rsidR="00A50858">
              <w:rPr>
                <w:sz w:val="22"/>
                <w:szCs w:val="22"/>
              </w:rPr>
              <w:t xml:space="preserve"> idiopathic pulmonary fibrosis, antifibrotic, patient perception</w:t>
            </w:r>
            <w:r w:rsidR="001564A4" w:rsidRPr="00E55AE3">
              <w:rPr>
                <w:sz w:val="22"/>
                <w:szCs w:val="22"/>
              </w:rPr>
              <w:br/>
            </w:r>
            <w:r w:rsidR="009744EA" w:rsidRPr="00A50858">
              <w:rPr>
                <w:b/>
                <w:bCs/>
                <w:sz w:val="22"/>
                <w:szCs w:val="22"/>
              </w:rPr>
              <w:t>Word count:</w:t>
            </w:r>
            <w:r w:rsidR="009744EA" w:rsidRPr="00E55AE3">
              <w:rPr>
                <w:sz w:val="22"/>
                <w:szCs w:val="22"/>
              </w:rPr>
              <w:t xml:space="preserve"> </w:t>
            </w:r>
            <w:r w:rsidR="00731C41" w:rsidRPr="00E55AE3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4</w:t>
            </w:r>
            <w:r w:rsidR="001564A4" w:rsidRPr="00E55AE3">
              <w:rPr>
                <w:sz w:val="22"/>
                <w:szCs w:val="22"/>
              </w:rPr>
              <w:br/>
            </w:r>
            <w:r w:rsidR="001564A4" w:rsidRPr="00E55AE3">
              <w:rPr>
                <w:sz w:val="22"/>
                <w:szCs w:val="22"/>
              </w:rPr>
              <w:br/>
            </w:r>
            <w:r w:rsidR="001564A4" w:rsidRPr="00E55AE3">
              <w:rPr>
                <w:sz w:val="22"/>
                <w:szCs w:val="22"/>
              </w:rPr>
              <w:br/>
            </w:r>
            <w:r w:rsidR="001564A4" w:rsidRPr="00E55AE3">
              <w:rPr>
                <w:sz w:val="22"/>
                <w:szCs w:val="22"/>
              </w:rPr>
              <w:br/>
            </w:r>
            <w:r w:rsidR="001564A4" w:rsidRPr="00E55AE3">
              <w:rPr>
                <w:sz w:val="22"/>
                <w:szCs w:val="22"/>
              </w:rPr>
              <w:br/>
            </w:r>
            <w:r w:rsidR="001564A4" w:rsidRPr="00E55AE3">
              <w:rPr>
                <w:sz w:val="22"/>
                <w:szCs w:val="22"/>
              </w:rPr>
              <w:br/>
            </w:r>
            <w:r w:rsidR="001564A4" w:rsidRPr="00E55AE3">
              <w:rPr>
                <w:sz w:val="22"/>
                <w:szCs w:val="22"/>
              </w:rPr>
              <w:br/>
            </w:r>
            <w:r w:rsidR="001564A4" w:rsidRPr="00E55AE3">
              <w:rPr>
                <w:sz w:val="22"/>
                <w:szCs w:val="22"/>
              </w:rPr>
              <w:br/>
            </w:r>
            <w:r w:rsidR="001564A4" w:rsidRPr="00E55AE3">
              <w:rPr>
                <w:sz w:val="22"/>
                <w:szCs w:val="22"/>
              </w:rPr>
              <w:br/>
            </w:r>
            <w:r w:rsidR="001564A4" w:rsidRPr="00E55AE3">
              <w:rPr>
                <w:sz w:val="22"/>
                <w:szCs w:val="22"/>
              </w:rPr>
              <w:br/>
            </w:r>
          </w:p>
          <w:p w14:paraId="731CD908" w14:textId="77777777" w:rsidR="001564A4" w:rsidRPr="00E55AE3" w:rsidRDefault="001564A4" w:rsidP="004779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4BF0A0F" w14:textId="77777777" w:rsidR="001564A4" w:rsidRPr="00E55AE3" w:rsidRDefault="001564A4" w:rsidP="004779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FF1A88F" w14:textId="77777777" w:rsidR="001564A4" w:rsidRPr="00E55AE3" w:rsidRDefault="001564A4" w:rsidP="0047798C">
            <w:pPr>
              <w:pStyle w:val="Pa12"/>
              <w:jc w:val="both"/>
              <w:rPr>
                <w:rStyle w:val="A4"/>
                <w:bCs/>
              </w:rPr>
            </w:pP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  <w:r w:rsidRPr="00E55AE3">
              <w:rPr>
                <w:rStyle w:val="A4"/>
                <w:bCs/>
              </w:rPr>
              <w:br/>
            </w:r>
          </w:p>
          <w:p w14:paraId="14DC37E4" w14:textId="77777777" w:rsidR="001564A4" w:rsidRPr="00E55AE3" w:rsidRDefault="001564A4" w:rsidP="0047798C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E55AE3" w:rsidRDefault="001564A4" w:rsidP="0047798C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  <w:r w:rsidRPr="00E55AE3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E55AE3" w:rsidRDefault="00E0700F" w:rsidP="008167C1">
      <w:pPr>
        <w:jc w:val="both"/>
        <w:rPr>
          <w:sz w:val="22"/>
          <w:szCs w:val="22"/>
        </w:rPr>
      </w:pPr>
    </w:p>
    <w:p w14:paraId="2E66B6D2" w14:textId="153A250D" w:rsidR="00895335" w:rsidRPr="008D356F" w:rsidRDefault="00895335" w:rsidP="008167C1">
      <w:pPr>
        <w:jc w:val="both"/>
        <w:rPr>
          <w:sz w:val="22"/>
          <w:szCs w:val="22"/>
        </w:rPr>
      </w:pPr>
    </w:p>
    <w:sectPr w:rsidR="00895335" w:rsidRPr="008D3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42D1" w14:textId="77777777" w:rsidR="00730E7B" w:rsidRDefault="00730E7B" w:rsidP="00FF3BA7">
      <w:r>
        <w:separator/>
      </w:r>
    </w:p>
  </w:endnote>
  <w:endnote w:type="continuationSeparator" w:id="0">
    <w:p w14:paraId="5B39B78B" w14:textId="77777777" w:rsidR="00730E7B" w:rsidRDefault="00730E7B" w:rsidP="00FF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BA45" w14:textId="77777777" w:rsidR="00730E7B" w:rsidRDefault="00730E7B" w:rsidP="00FF3BA7">
      <w:r>
        <w:separator/>
      </w:r>
    </w:p>
  </w:footnote>
  <w:footnote w:type="continuationSeparator" w:id="0">
    <w:p w14:paraId="2D8E7ED4" w14:textId="77777777" w:rsidR="00730E7B" w:rsidRDefault="00730E7B" w:rsidP="00FF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0231"/>
    <w:rsid w:val="0009789D"/>
    <w:rsid w:val="000E022C"/>
    <w:rsid w:val="001564A4"/>
    <w:rsid w:val="00156A23"/>
    <w:rsid w:val="001652F7"/>
    <w:rsid w:val="00206323"/>
    <w:rsid w:val="00224F96"/>
    <w:rsid w:val="0022681B"/>
    <w:rsid w:val="002424C1"/>
    <w:rsid w:val="0028719A"/>
    <w:rsid w:val="002C146A"/>
    <w:rsid w:val="00325920"/>
    <w:rsid w:val="0034178F"/>
    <w:rsid w:val="003530AF"/>
    <w:rsid w:val="00387CB2"/>
    <w:rsid w:val="003D25BC"/>
    <w:rsid w:val="003E0618"/>
    <w:rsid w:val="00433B29"/>
    <w:rsid w:val="00455E27"/>
    <w:rsid w:val="0047798C"/>
    <w:rsid w:val="00490743"/>
    <w:rsid w:val="004E2932"/>
    <w:rsid w:val="0051574E"/>
    <w:rsid w:val="00531CC4"/>
    <w:rsid w:val="00567939"/>
    <w:rsid w:val="005D4801"/>
    <w:rsid w:val="00635426"/>
    <w:rsid w:val="006C07CD"/>
    <w:rsid w:val="006E26EA"/>
    <w:rsid w:val="006F29FF"/>
    <w:rsid w:val="00730E7B"/>
    <w:rsid w:val="00731C41"/>
    <w:rsid w:val="00777DD2"/>
    <w:rsid w:val="007833C0"/>
    <w:rsid w:val="007C5C86"/>
    <w:rsid w:val="008167C1"/>
    <w:rsid w:val="008803FA"/>
    <w:rsid w:val="00895335"/>
    <w:rsid w:val="008969AF"/>
    <w:rsid w:val="008D356F"/>
    <w:rsid w:val="009744EA"/>
    <w:rsid w:val="009C5C87"/>
    <w:rsid w:val="00A50858"/>
    <w:rsid w:val="00A62D13"/>
    <w:rsid w:val="00B12E32"/>
    <w:rsid w:val="00B23541"/>
    <w:rsid w:val="00BB7015"/>
    <w:rsid w:val="00C05306"/>
    <w:rsid w:val="00C27B97"/>
    <w:rsid w:val="00CD27D3"/>
    <w:rsid w:val="00CD7774"/>
    <w:rsid w:val="00D00497"/>
    <w:rsid w:val="00D23C36"/>
    <w:rsid w:val="00D439C8"/>
    <w:rsid w:val="00DA2347"/>
    <w:rsid w:val="00DB3BD6"/>
    <w:rsid w:val="00DB7F50"/>
    <w:rsid w:val="00DE1C52"/>
    <w:rsid w:val="00E0700F"/>
    <w:rsid w:val="00E55AE3"/>
    <w:rsid w:val="00FD1AED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D00497"/>
    <w:pPr>
      <w:spacing w:before="100" w:beforeAutospacing="1" w:after="100" w:afterAutospacing="1"/>
    </w:pPr>
    <w:rPr>
      <w:rFonts w:eastAsiaTheme="minorHAnsi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2C146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F3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B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3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BA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E0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618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618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Alan Teoh</cp:lastModifiedBy>
  <cp:revision>2</cp:revision>
  <dcterms:created xsi:type="dcterms:W3CDTF">2023-10-18T23:44:00Z</dcterms:created>
  <dcterms:modified xsi:type="dcterms:W3CDTF">2023-10-18T23:44:00Z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