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8"/>
      </w:tblGrid>
      <w:tr w:rsidR="00725F0D" w14:paraId="44F75D3C" w14:textId="77777777" w:rsidTr="00F94188">
        <w:trPr>
          <w:trHeight w:val="729"/>
          <w:jc w:val="center"/>
        </w:trPr>
        <w:tc>
          <w:tcPr>
            <w:tcW w:w="9328" w:type="dxa"/>
            <w:shd w:val="clear" w:color="auto" w:fill="auto"/>
          </w:tcPr>
          <w:p w14:paraId="6C16E260" w14:textId="77777777" w:rsidR="00725F0D" w:rsidRDefault="00000000">
            <w:pPr>
              <w:spacing w:before="120" w:after="120"/>
              <w:rPr>
                <w:rFonts w:ascii="Arial" w:eastAsia="Arial" w:hAnsi="Arial" w:cs="Arial"/>
                <w:b/>
                <w:sz w:val="22"/>
                <w:szCs w:val="22"/>
              </w:rPr>
            </w:pPr>
            <w:r>
              <w:rPr>
                <w:rFonts w:ascii="Arial" w:eastAsia="Arial" w:hAnsi="Arial" w:cs="Arial"/>
                <w:b/>
                <w:sz w:val="22"/>
                <w:szCs w:val="22"/>
              </w:rPr>
              <w:t>X-ray Velocimetry Visualises Ventilation Changes from Endobronchial Valve Placement</w:t>
            </w:r>
          </w:p>
        </w:tc>
      </w:tr>
      <w:tr w:rsidR="00725F0D" w14:paraId="568979C9" w14:textId="77777777" w:rsidTr="00F94188">
        <w:trPr>
          <w:trHeight w:val="743"/>
          <w:jc w:val="center"/>
        </w:trPr>
        <w:tc>
          <w:tcPr>
            <w:tcW w:w="9328" w:type="dxa"/>
            <w:shd w:val="clear" w:color="auto" w:fill="auto"/>
          </w:tcPr>
          <w:p w14:paraId="60C0910D" w14:textId="48D6D579" w:rsidR="00725F0D" w:rsidRPr="00F94188" w:rsidRDefault="00000000">
            <w:pPr>
              <w:spacing w:before="120" w:after="120"/>
              <w:rPr>
                <w:rFonts w:ascii="Arial" w:eastAsia="Arial" w:hAnsi="Arial" w:cs="Arial"/>
                <w:sz w:val="22"/>
                <w:szCs w:val="22"/>
                <w:u w:val="single"/>
                <w:vertAlign w:val="superscript"/>
              </w:rPr>
            </w:pPr>
            <w:r>
              <w:rPr>
                <w:rFonts w:ascii="Arial" w:eastAsia="Arial" w:hAnsi="Arial" w:cs="Arial"/>
                <w:sz w:val="22"/>
                <w:szCs w:val="22"/>
              </w:rPr>
              <w:t>Ronan Smith</w:t>
            </w:r>
            <w:r w:rsidR="00F94188">
              <w:rPr>
                <w:rFonts w:ascii="Arial" w:eastAsia="Arial" w:hAnsi="Arial" w:cs="Arial"/>
                <w:sz w:val="22"/>
                <w:szCs w:val="22"/>
                <w:vertAlign w:val="superscript"/>
              </w:rPr>
              <w:t>1,2</w:t>
            </w:r>
            <w:r>
              <w:rPr>
                <w:rFonts w:ascii="Arial" w:eastAsia="Arial" w:hAnsi="Arial" w:cs="Arial"/>
                <w:sz w:val="22"/>
                <w:szCs w:val="22"/>
              </w:rPr>
              <w:t>, Charlotte Thomas</w:t>
            </w:r>
            <w:r w:rsidR="00F94188">
              <w:rPr>
                <w:rFonts w:ascii="Arial" w:eastAsia="Arial" w:hAnsi="Arial" w:cs="Arial"/>
                <w:sz w:val="22"/>
                <w:szCs w:val="22"/>
                <w:vertAlign w:val="superscript"/>
              </w:rPr>
              <w:t>3</w:t>
            </w:r>
            <w:r>
              <w:rPr>
                <w:rFonts w:ascii="Arial" w:eastAsia="Arial" w:hAnsi="Arial" w:cs="Arial"/>
                <w:sz w:val="22"/>
                <w:szCs w:val="22"/>
              </w:rPr>
              <w:t>, Phan Nguyen</w:t>
            </w:r>
            <w:r w:rsidR="00F94188">
              <w:rPr>
                <w:rFonts w:ascii="Arial" w:eastAsia="Arial" w:hAnsi="Arial" w:cs="Arial"/>
                <w:sz w:val="22"/>
                <w:szCs w:val="22"/>
                <w:vertAlign w:val="superscript"/>
              </w:rPr>
              <w:t>4</w:t>
            </w:r>
            <w:r>
              <w:rPr>
                <w:rFonts w:ascii="Arial" w:eastAsia="Arial" w:hAnsi="Arial" w:cs="Arial"/>
                <w:sz w:val="22"/>
                <w:szCs w:val="22"/>
              </w:rPr>
              <w:t>, Arash Badiei</w:t>
            </w:r>
            <w:r w:rsidR="00F94188">
              <w:rPr>
                <w:rFonts w:ascii="Arial" w:eastAsia="Arial" w:hAnsi="Arial" w:cs="Arial"/>
                <w:sz w:val="22"/>
                <w:szCs w:val="22"/>
                <w:vertAlign w:val="superscript"/>
              </w:rPr>
              <w:t>4</w:t>
            </w:r>
            <w:r>
              <w:rPr>
                <w:rFonts w:ascii="Arial" w:eastAsia="Arial" w:hAnsi="Arial" w:cs="Arial"/>
                <w:sz w:val="22"/>
                <w:szCs w:val="22"/>
              </w:rPr>
              <w:t>, Nina Eikelis</w:t>
            </w:r>
            <w:r w:rsidR="00F94188">
              <w:rPr>
                <w:rFonts w:ascii="Arial" w:eastAsia="Arial" w:hAnsi="Arial" w:cs="Arial"/>
                <w:sz w:val="22"/>
                <w:szCs w:val="22"/>
                <w:vertAlign w:val="superscript"/>
              </w:rPr>
              <w:t>3</w:t>
            </w:r>
            <w:r>
              <w:rPr>
                <w:rFonts w:ascii="Arial" w:eastAsia="Arial" w:hAnsi="Arial" w:cs="Arial"/>
                <w:sz w:val="22"/>
                <w:szCs w:val="22"/>
              </w:rPr>
              <w:t>, Kris Nilsen</w:t>
            </w:r>
            <w:r w:rsidR="00F94188">
              <w:rPr>
                <w:rFonts w:ascii="Arial" w:eastAsia="Arial" w:hAnsi="Arial" w:cs="Arial"/>
                <w:sz w:val="22"/>
                <w:szCs w:val="22"/>
                <w:vertAlign w:val="superscript"/>
              </w:rPr>
              <w:t>3</w:t>
            </w:r>
            <w:r>
              <w:rPr>
                <w:rFonts w:ascii="Arial" w:eastAsia="Arial" w:hAnsi="Arial" w:cs="Arial"/>
                <w:sz w:val="22"/>
                <w:szCs w:val="22"/>
              </w:rPr>
              <w:t>, David Parsons</w:t>
            </w:r>
            <w:r w:rsidR="00F94188">
              <w:rPr>
                <w:rFonts w:ascii="Arial" w:eastAsia="Arial" w:hAnsi="Arial" w:cs="Arial"/>
                <w:sz w:val="22"/>
                <w:szCs w:val="22"/>
                <w:vertAlign w:val="superscript"/>
              </w:rPr>
              <w:t>1,2</w:t>
            </w:r>
            <w:r>
              <w:rPr>
                <w:rFonts w:ascii="Arial" w:eastAsia="Arial" w:hAnsi="Arial" w:cs="Arial"/>
                <w:sz w:val="22"/>
                <w:szCs w:val="22"/>
              </w:rPr>
              <w:t>, Martin Donnelley</w:t>
            </w:r>
            <w:r w:rsidR="00F94188">
              <w:rPr>
                <w:rFonts w:ascii="Arial" w:eastAsia="Arial" w:hAnsi="Arial" w:cs="Arial"/>
                <w:sz w:val="22"/>
                <w:szCs w:val="22"/>
                <w:vertAlign w:val="superscript"/>
              </w:rPr>
              <w:t>1,2</w:t>
            </w:r>
          </w:p>
        </w:tc>
      </w:tr>
      <w:tr w:rsidR="00725F0D" w14:paraId="78FA0809" w14:textId="77777777" w:rsidTr="00F94188">
        <w:trPr>
          <w:trHeight w:val="134"/>
          <w:jc w:val="center"/>
        </w:trPr>
        <w:tc>
          <w:tcPr>
            <w:tcW w:w="9328" w:type="dxa"/>
            <w:shd w:val="clear" w:color="auto" w:fill="auto"/>
          </w:tcPr>
          <w:p w14:paraId="7311FA98" w14:textId="77777777" w:rsidR="00725F0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 xml:space="preserve">1 </w:t>
            </w:r>
            <w:r>
              <w:rPr>
                <w:rFonts w:ascii="Arial" w:eastAsia="Arial" w:hAnsi="Arial" w:cs="Arial"/>
                <w:i/>
                <w:sz w:val="22"/>
                <w:szCs w:val="22"/>
              </w:rPr>
              <w:t>University of Adelaide, Adelaide, SA, 5000</w:t>
            </w:r>
          </w:p>
          <w:p w14:paraId="13C78C9D" w14:textId="77777777" w:rsidR="00725F0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 xml:space="preserve">2 </w:t>
            </w:r>
            <w:r>
              <w:rPr>
                <w:rFonts w:ascii="Arial" w:eastAsia="Arial" w:hAnsi="Arial" w:cs="Arial"/>
                <w:i/>
                <w:sz w:val="22"/>
                <w:szCs w:val="22"/>
              </w:rPr>
              <w:t xml:space="preserve">Women’s and Children’s Hospital, Adelaide, SA, 5000 </w:t>
            </w:r>
          </w:p>
          <w:p w14:paraId="696A0C05" w14:textId="1A6E269A" w:rsidR="00725F0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3</w:t>
            </w:r>
            <w:r>
              <w:rPr>
                <w:rFonts w:ascii="Arial" w:eastAsia="Arial" w:hAnsi="Arial" w:cs="Arial"/>
                <w:i/>
                <w:sz w:val="22"/>
                <w:szCs w:val="22"/>
              </w:rPr>
              <w:t>4DMedical Limited, Melbourne, Vic</w:t>
            </w:r>
            <w:r w:rsidR="001E1455">
              <w:rPr>
                <w:rFonts w:ascii="Arial" w:eastAsia="Arial" w:hAnsi="Arial" w:cs="Arial"/>
                <w:i/>
                <w:sz w:val="22"/>
                <w:szCs w:val="22"/>
              </w:rPr>
              <w:t>, 3053</w:t>
            </w:r>
          </w:p>
          <w:p w14:paraId="245C035F" w14:textId="77777777" w:rsidR="00725F0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 xml:space="preserve">4 </w:t>
            </w:r>
            <w:r>
              <w:rPr>
                <w:rFonts w:ascii="Arial" w:eastAsia="Arial" w:hAnsi="Arial" w:cs="Arial"/>
                <w:i/>
                <w:sz w:val="22"/>
                <w:szCs w:val="22"/>
              </w:rPr>
              <w:t>Royal Adelaide Hospital, Adelaide, SA, 5000</w:t>
            </w:r>
          </w:p>
        </w:tc>
      </w:tr>
      <w:tr w:rsidR="00725F0D" w:rsidRPr="00F92B27" w14:paraId="0AB24400" w14:textId="77777777" w:rsidTr="00F94188">
        <w:trPr>
          <w:trHeight w:val="7302"/>
          <w:jc w:val="center"/>
        </w:trPr>
        <w:tc>
          <w:tcPr>
            <w:tcW w:w="9328" w:type="dxa"/>
            <w:shd w:val="clear" w:color="auto" w:fill="auto"/>
          </w:tcPr>
          <w:p w14:paraId="2B1327C6" w14:textId="77777777" w:rsidR="00725F0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Introduction/Aim: </w:t>
            </w:r>
          </w:p>
          <w:p w14:paraId="18E99CFE" w14:textId="41DA647C" w:rsidR="00725F0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 xml:space="preserve">X-ray Velocimetry (XV) is a novel imaging technique that enables time-resolved measurements of regional ventilation to provide detailed insights into the respiratory function. The placement of endobronchial valves (EBV) is a minimally-invasive lung volume reduction procedure for the treatment of emphysema with gas-trapping. EBVs restrict airflow to emphasematous lung, thereby improving ventilation in the remainder of the lung. The aim of this study was to demonstrate that XV can be used to visualise and quantify local ventilation changes. </w:t>
            </w:r>
          </w:p>
          <w:p w14:paraId="55386961" w14:textId="77777777" w:rsidR="00725F0D" w:rsidRDefault="00000000">
            <w:pPr>
              <w:pBdr>
                <w:top w:val="nil"/>
                <w:left w:val="nil"/>
                <w:bottom w:val="nil"/>
                <w:right w:val="nil"/>
                <w:between w:val="nil"/>
              </w:pBdr>
              <w:rPr>
                <w:rFonts w:ascii="Arial" w:eastAsia="Arial" w:hAnsi="Arial" w:cs="Arial"/>
                <w:sz w:val="22"/>
                <w:szCs w:val="22"/>
              </w:rPr>
            </w:pPr>
            <w:r>
              <w:rPr>
                <w:rFonts w:ascii="Arial" w:eastAsia="Arial" w:hAnsi="Arial" w:cs="Arial"/>
                <w:b/>
                <w:color w:val="000000"/>
                <w:sz w:val="22"/>
                <w:szCs w:val="22"/>
              </w:rPr>
              <w:t xml:space="preserve">Methods: </w:t>
            </w:r>
            <w:r>
              <w:rPr>
                <w:rFonts w:ascii="Arial" w:eastAsia="Arial" w:hAnsi="Arial" w:cs="Arial"/>
                <w:color w:val="000000"/>
                <w:sz w:val="22"/>
                <w:szCs w:val="22"/>
              </w:rPr>
              <w:t>EBVs were implanted in two sheep</w:t>
            </w:r>
            <w:r>
              <w:rPr>
                <w:rFonts w:ascii="Arial" w:eastAsia="Arial" w:hAnsi="Arial" w:cs="Arial"/>
                <w:sz w:val="22"/>
                <w:szCs w:val="22"/>
              </w:rPr>
              <w:t xml:space="preserve">. </w:t>
            </w:r>
            <w:r>
              <w:rPr>
                <w:rFonts w:ascii="Arial" w:eastAsia="Arial" w:hAnsi="Arial" w:cs="Arial"/>
                <w:color w:val="000000"/>
                <w:sz w:val="22"/>
                <w:szCs w:val="22"/>
              </w:rPr>
              <w:t xml:space="preserve">XV and CT scans were conducted immediately before and after the procedure. </w:t>
            </w:r>
            <w:r>
              <w:rPr>
                <w:rFonts w:ascii="Arial" w:eastAsia="Arial" w:hAnsi="Arial" w:cs="Arial"/>
                <w:sz w:val="22"/>
                <w:szCs w:val="22"/>
              </w:rPr>
              <w:t>After</w:t>
            </w:r>
            <w:r>
              <w:rPr>
                <w:rFonts w:ascii="Arial" w:eastAsia="Arial" w:hAnsi="Arial" w:cs="Arial"/>
                <w:color w:val="000000"/>
                <w:sz w:val="22"/>
                <w:szCs w:val="22"/>
              </w:rPr>
              <w:t xml:space="preserve"> 14 days, the same scans were performed before an</w:t>
            </w:r>
            <w:r>
              <w:rPr>
                <w:rFonts w:ascii="Arial" w:eastAsia="Arial" w:hAnsi="Arial" w:cs="Arial"/>
                <w:sz w:val="22"/>
                <w:szCs w:val="22"/>
              </w:rPr>
              <w:t>d after</w:t>
            </w:r>
            <w:r>
              <w:rPr>
                <w:rFonts w:ascii="Arial" w:eastAsia="Arial" w:hAnsi="Arial" w:cs="Arial"/>
                <w:color w:val="000000"/>
                <w:sz w:val="22"/>
                <w:szCs w:val="22"/>
              </w:rPr>
              <w:t xml:space="preserve"> removing the EBVs</w:t>
            </w:r>
            <w:r>
              <w:rPr>
                <w:rFonts w:ascii="Arial" w:eastAsia="Arial" w:hAnsi="Arial" w:cs="Arial"/>
                <w:sz w:val="22"/>
                <w:szCs w:val="22"/>
              </w:rPr>
              <w:t>.</w:t>
            </w:r>
            <w:r>
              <w:rPr>
                <w:rFonts w:ascii="Arial" w:eastAsia="Arial" w:hAnsi="Arial" w:cs="Arial"/>
                <w:color w:val="000000"/>
                <w:sz w:val="22"/>
                <w:szCs w:val="22"/>
              </w:rPr>
              <w:t xml:space="preserve"> CT scans were </w:t>
            </w:r>
            <w:r>
              <w:rPr>
                <w:rFonts w:ascii="Arial" w:eastAsia="Arial" w:hAnsi="Arial" w:cs="Arial"/>
                <w:sz w:val="22"/>
                <w:szCs w:val="22"/>
              </w:rPr>
              <w:t xml:space="preserve">used to segment regions restricted by the EBV. </w:t>
            </w:r>
          </w:p>
          <w:p w14:paraId="702F9569" w14:textId="6BAE8783" w:rsidR="00725F0D" w:rsidRDefault="00000000">
            <w:pPr>
              <w:pBdr>
                <w:top w:val="nil"/>
                <w:left w:val="nil"/>
                <w:bottom w:val="nil"/>
                <w:right w:val="nil"/>
                <w:between w:val="nil"/>
              </w:pBdr>
              <w:rPr>
                <w:rFonts w:ascii="Arial" w:eastAsia="Arial" w:hAnsi="Arial" w:cs="Arial"/>
                <w:sz w:val="22"/>
                <w:szCs w:val="22"/>
              </w:rPr>
            </w:pPr>
            <w:r>
              <w:rPr>
                <w:rFonts w:ascii="Arial" w:eastAsia="Arial" w:hAnsi="Arial" w:cs="Arial"/>
                <w:b/>
                <w:color w:val="000000"/>
                <w:sz w:val="22"/>
                <w:szCs w:val="22"/>
              </w:rPr>
              <w:t xml:space="preserve">Results: </w:t>
            </w:r>
            <w:r>
              <w:rPr>
                <w:rFonts w:ascii="Arial" w:eastAsia="Arial" w:hAnsi="Arial" w:cs="Arial"/>
                <w:sz w:val="22"/>
                <w:szCs w:val="22"/>
              </w:rPr>
              <w:t xml:space="preserve">XV showed an immediate decrease in ventilation in the lungs directly downstream of the EBV. This decrease in ventilation was visible in regions where no change could be seen in CT (See Fig.1). After removal, a partial return to pre-insertion ventilation values was seen. </w:t>
            </w:r>
            <w:r>
              <w:rPr>
                <w:rFonts w:ascii="Arial" w:eastAsia="Arial" w:hAnsi="Arial" w:cs="Arial"/>
                <w:color w:val="000000"/>
                <w:sz w:val="22"/>
                <w:szCs w:val="22"/>
              </w:rPr>
              <w:br/>
            </w:r>
            <w:r>
              <w:rPr>
                <w:rFonts w:ascii="Arial" w:eastAsia="Arial" w:hAnsi="Arial" w:cs="Arial"/>
                <w:b/>
                <w:color w:val="000000"/>
                <w:sz w:val="22"/>
                <w:szCs w:val="22"/>
              </w:rPr>
              <w:t xml:space="preserve">Conclusion: </w:t>
            </w:r>
            <w:r>
              <w:rPr>
                <w:rFonts w:ascii="Arial" w:eastAsia="Arial" w:hAnsi="Arial" w:cs="Arial"/>
                <w:sz w:val="22"/>
                <w:szCs w:val="22"/>
              </w:rPr>
              <w:t>Non-invasive XV functional lung imaging is able to detect ventilation changes in the lungs of sheep after EBV placement, even in the absence of any structural changes.</w:t>
            </w:r>
            <w:r>
              <w:rPr>
                <w:rFonts w:ascii="Arial" w:eastAsia="Arial" w:hAnsi="Arial" w:cs="Arial"/>
                <w:color w:val="000000"/>
                <w:sz w:val="22"/>
                <w:szCs w:val="22"/>
              </w:rPr>
              <w:br/>
            </w:r>
          </w:p>
          <w:p w14:paraId="6C83E1EA" w14:textId="00BD8F51" w:rsidR="00725F0D" w:rsidRDefault="00F94188">
            <w:pPr>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58240" behindDoc="0" locked="0" layoutInCell="1" hidden="0" allowOverlap="1" wp14:anchorId="113710F3" wp14:editId="01DB2B16">
                  <wp:simplePos x="0" y="0"/>
                  <wp:positionH relativeFrom="column">
                    <wp:posOffset>79375</wp:posOffset>
                  </wp:positionH>
                  <wp:positionV relativeFrom="paragraph">
                    <wp:posOffset>66040</wp:posOffset>
                  </wp:positionV>
                  <wp:extent cx="2828925" cy="34290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828925" cy="342900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Arial" w:eastAsia="Arial" w:hAnsi="Arial" w:cs="Arial"/>
                <w:b/>
                <w:sz w:val="22"/>
                <w:szCs w:val="22"/>
              </w:rPr>
              <w:t xml:space="preserve">Figure 1: </w:t>
            </w:r>
            <w:r w:rsidR="00000000">
              <w:rPr>
                <w:rFonts w:ascii="Arial" w:eastAsia="Arial" w:hAnsi="Arial" w:cs="Arial"/>
                <w:sz w:val="22"/>
                <w:szCs w:val="22"/>
              </w:rPr>
              <w:t>CT and XV scans of a sheep immediately before and after placing a single EBV device into the left lung. No change is visible in this slice of the CT scan. However in the same slice of the X-ray velocimetry scan, reduced ventilation (enlarged red region) can clearly be seen in the left lung.</w:t>
            </w:r>
          </w:p>
          <w:p w14:paraId="762B0221" w14:textId="77777777" w:rsidR="00F92B27" w:rsidRDefault="00F92B27">
            <w:pPr>
              <w:pBdr>
                <w:top w:val="nil"/>
                <w:left w:val="nil"/>
                <w:bottom w:val="nil"/>
                <w:right w:val="nil"/>
                <w:between w:val="nil"/>
              </w:pBdr>
              <w:rPr>
                <w:rFonts w:ascii="Arial" w:eastAsia="Arial" w:hAnsi="Arial" w:cs="Arial"/>
                <w:sz w:val="22"/>
                <w:szCs w:val="22"/>
              </w:rPr>
            </w:pPr>
          </w:p>
          <w:p w14:paraId="601D62F2" w14:textId="77777777" w:rsidR="00F92B27" w:rsidRDefault="00F92B27" w:rsidP="00F92B27">
            <w:pPr>
              <w:pBdr>
                <w:top w:val="nil"/>
                <w:left w:val="nil"/>
                <w:bottom w:val="nil"/>
                <w:right w:val="nil"/>
                <w:between w:val="nil"/>
              </w:pBdr>
              <w:rPr>
                <w:rFonts w:ascii="Arial" w:eastAsia="Arial" w:hAnsi="Arial" w:cs="Arial"/>
                <w:sz w:val="22"/>
                <w:szCs w:val="22"/>
              </w:rPr>
            </w:pPr>
            <w:r>
              <w:rPr>
                <w:rFonts w:ascii="Arial" w:eastAsia="Arial" w:hAnsi="Arial" w:cs="Arial"/>
                <w:b/>
                <w:sz w:val="22"/>
                <w:szCs w:val="22"/>
              </w:rPr>
              <w:t xml:space="preserve">Key Words: </w:t>
            </w:r>
            <w:r>
              <w:rPr>
                <w:rFonts w:ascii="Arial" w:eastAsia="Arial" w:hAnsi="Arial" w:cs="Arial"/>
                <w:sz w:val="22"/>
                <w:szCs w:val="22"/>
              </w:rPr>
              <w:t>X-ray Velocimetry, Endobronchial Valve, Pre-clinical, Imaging.</w:t>
            </w:r>
          </w:p>
          <w:p w14:paraId="677D14AB" w14:textId="77777777" w:rsidR="00F92B27" w:rsidRDefault="00F92B27">
            <w:pPr>
              <w:pBdr>
                <w:top w:val="nil"/>
                <w:left w:val="nil"/>
                <w:bottom w:val="nil"/>
                <w:right w:val="nil"/>
                <w:between w:val="nil"/>
              </w:pBdr>
              <w:rPr>
                <w:rFonts w:ascii="Arial" w:eastAsia="Arial" w:hAnsi="Arial" w:cs="Arial"/>
                <w:sz w:val="22"/>
                <w:szCs w:val="22"/>
              </w:rPr>
            </w:pPr>
          </w:p>
          <w:p w14:paraId="1A7EC91E" w14:textId="37CC3F6F" w:rsidR="00725F0D" w:rsidRDefault="00F92B27">
            <w:pPr>
              <w:pBdr>
                <w:top w:val="nil"/>
                <w:left w:val="nil"/>
                <w:bottom w:val="nil"/>
                <w:right w:val="nil"/>
                <w:between w:val="nil"/>
              </w:pBdr>
              <w:rPr>
                <w:rFonts w:ascii="Arial" w:eastAsia="Arial" w:hAnsi="Arial" w:cs="Arial"/>
                <w:sz w:val="22"/>
                <w:szCs w:val="22"/>
              </w:rPr>
            </w:pPr>
            <w:r>
              <w:rPr>
                <w:rFonts w:ascii="Arial" w:eastAsia="Arial" w:hAnsi="Arial" w:cs="Arial"/>
                <w:b/>
                <w:color w:val="000000"/>
                <w:sz w:val="22"/>
                <w:szCs w:val="22"/>
              </w:rPr>
              <w:t xml:space="preserve">Grant Support: </w:t>
            </w:r>
            <w:r>
              <w:rPr>
                <w:rFonts w:ascii="Arial" w:eastAsia="Arial" w:hAnsi="Arial" w:cs="Arial"/>
                <w:sz w:val="22"/>
                <w:szCs w:val="22"/>
              </w:rPr>
              <w:t>This work was supported by the Medical Research Future Fund Grant RFRHPSI000013.</w:t>
            </w:r>
          </w:p>
          <w:p w14:paraId="78448EC1" w14:textId="77777777" w:rsidR="00725F0D" w:rsidRDefault="00725F0D">
            <w:pPr>
              <w:pBdr>
                <w:top w:val="nil"/>
                <w:left w:val="nil"/>
                <w:bottom w:val="nil"/>
                <w:right w:val="nil"/>
                <w:between w:val="nil"/>
              </w:pBdr>
              <w:rPr>
                <w:rFonts w:ascii="Arial" w:eastAsia="Arial" w:hAnsi="Arial" w:cs="Arial"/>
                <w:sz w:val="22"/>
                <w:szCs w:val="22"/>
              </w:rPr>
            </w:pPr>
          </w:p>
          <w:p w14:paraId="79257DE4" w14:textId="77777777" w:rsidR="00725F0D" w:rsidRDefault="00000000">
            <w:pPr>
              <w:pBdr>
                <w:top w:val="nil"/>
                <w:left w:val="nil"/>
                <w:bottom w:val="nil"/>
                <w:right w:val="nil"/>
                <w:between w:val="nil"/>
              </w:pBdr>
              <w:rPr>
                <w:rFonts w:ascii="Arial" w:eastAsia="Arial" w:hAnsi="Arial" w:cs="Arial"/>
                <w:sz w:val="22"/>
                <w:szCs w:val="22"/>
              </w:rPr>
            </w:pPr>
            <w:r>
              <w:rPr>
                <w:rFonts w:ascii="Arial" w:eastAsia="Arial" w:hAnsi="Arial" w:cs="Arial"/>
                <w:b/>
                <w:sz w:val="22"/>
                <w:szCs w:val="22"/>
              </w:rPr>
              <w:t xml:space="preserve">Declaration of Interest: </w:t>
            </w:r>
            <w:r>
              <w:rPr>
                <w:rFonts w:ascii="Arial" w:eastAsia="Arial" w:hAnsi="Arial" w:cs="Arial"/>
                <w:sz w:val="22"/>
                <w:szCs w:val="22"/>
              </w:rPr>
              <w:t xml:space="preserve">CT, NE and KN are employees of 4DMedical Limited who commercialised XV. DP and MD purchased shares in the company. </w:t>
            </w:r>
          </w:p>
          <w:p w14:paraId="2E5B96BB" w14:textId="77777777" w:rsidR="00725F0D" w:rsidRDefault="00725F0D">
            <w:pPr>
              <w:pBdr>
                <w:top w:val="nil"/>
                <w:left w:val="nil"/>
                <w:bottom w:val="nil"/>
                <w:right w:val="nil"/>
                <w:between w:val="nil"/>
              </w:pBdr>
              <w:rPr>
                <w:rFonts w:ascii="Arial" w:eastAsia="Arial" w:hAnsi="Arial" w:cs="Arial"/>
                <w:sz w:val="22"/>
                <w:szCs w:val="22"/>
              </w:rPr>
            </w:pPr>
          </w:p>
        </w:tc>
      </w:tr>
    </w:tbl>
    <w:p w14:paraId="73E77316" w14:textId="77777777" w:rsidR="00725F0D" w:rsidRDefault="00725F0D" w:rsidP="00F94188"/>
    <w:sectPr w:rsidR="00725F0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F0D"/>
    <w:rsid w:val="001E1455"/>
    <w:rsid w:val="00725F0D"/>
    <w:rsid w:val="00877539"/>
    <w:rsid w:val="00F92B27"/>
    <w:rsid w:val="00F941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72BA7"/>
  <w15:docId w15:val="{CD51E3F5-E7B6-496E-993B-1BD5331C5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345</Words>
  <Characters>1968</Characters>
  <Application>Microsoft Office Word</Application>
  <DocSecurity>0</DocSecurity>
  <Lines>16</Lines>
  <Paragraphs>4</Paragraphs>
  <ScaleCrop>false</ScaleCrop>
  <Company>The University of Adelaide</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Ronan Smith</cp:lastModifiedBy>
  <cp:revision>4</cp:revision>
  <dcterms:created xsi:type="dcterms:W3CDTF">2024-10-08T06:28:00Z</dcterms:created>
  <dcterms:modified xsi:type="dcterms:W3CDTF">2024-10-08T06:35:00Z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MediaServiceImageTags</vt:lpwstr>
  </property>
</Properties>
</file>