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3D2373B1" w14:textId="77777777" w:rsidR="00B61DD1" w:rsidRPr="00B61DD1" w:rsidRDefault="00B61DD1" w:rsidP="007E25A1">
            <w:pPr>
              <w:pStyle w:val="xxmsonormal"/>
              <w:spacing w:before="0" w:beforeAutospacing="0" w:after="0" w:afterAutospacing="0"/>
              <w:rPr>
                <w:rFonts w:ascii="Arial" w:hAnsi="Arial" w:cs="Arial"/>
                <w:i/>
                <w:iCs/>
                <w:color w:val="212121"/>
                <w:sz w:val="22"/>
                <w:szCs w:val="22"/>
              </w:rPr>
            </w:pPr>
            <w:r w:rsidRPr="00B61DD1">
              <w:rPr>
                <w:rFonts w:ascii="Arial" w:hAnsi="Arial" w:cs="Arial"/>
                <w:i/>
                <w:iCs/>
                <w:color w:val="212121"/>
                <w:sz w:val="22"/>
                <w:szCs w:val="22"/>
              </w:rPr>
              <w:t>Paper</w:t>
            </w:r>
          </w:p>
          <w:p w14:paraId="3B93988F" w14:textId="187E377D" w:rsidR="007E25A1" w:rsidRPr="00B61DD1" w:rsidRDefault="004E2861" w:rsidP="007E25A1">
            <w:pPr>
              <w:pStyle w:val="xxmsonormal"/>
              <w:spacing w:before="0" w:beforeAutospacing="0" w:after="0" w:afterAutospacing="0"/>
              <w:rPr>
                <w:rFonts w:ascii="Arial" w:hAnsi="Arial" w:cs="Arial"/>
                <w:b/>
                <w:bCs/>
                <w:color w:val="212121"/>
                <w:sz w:val="22"/>
                <w:szCs w:val="22"/>
              </w:rPr>
            </w:pPr>
            <w:r w:rsidRPr="00B61DD1">
              <w:rPr>
                <w:rFonts w:ascii="Arial" w:hAnsi="Arial" w:cs="Arial"/>
                <w:b/>
                <w:bCs/>
                <w:color w:val="212121"/>
                <w:sz w:val="22"/>
                <w:szCs w:val="22"/>
              </w:rPr>
              <w:t xml:space="preserve">Connecting the </w:t>
            </w:r>
            <w:r w:rsidR="0037036D" w:rsidRPr="00B61DD1">
              <w:rPr>
                <w:rFonts w:ascii="Arial" w:hAnsi="Arial" w:cs="Arial"/>
                <w:b/>
                <w:bCs/>
                <w:color w:val="212121"/>
                <w:sz w:val="22"/>
                <w:szCs w:val="22"/>
              </w:rPr>
              <w:t>d</w:t>
            </w:r>
            <w:r w:rsidRPr="00B61DD1">
              <w:rPr>
                <w:rFonts w:ascii="Arial" w:hAnsi="Arial" w:cs="Arial"/>
                <w:b/>
                <w:bCs/>
                <w:color w:val="212121"/>
                <w:sz w:val="22"/>
                <w:szCs w:val="22"/>
              </w:rPr>
              <w:t>ots</w:t>
            </w:r>
            <w:r w:rsidR="007E25A1" w:rsidRPr="00B61DD1">
              <w:rPr>
                <w:rFonts w:ascii="Arial" w:hAnsi="Arial" w:cs="Arial"/>
                <w:b/>
                <w:bCs/>
                <w:color w:val="212121"/>
                <w:sz w:val="22"/>
                <w:szCs w:val="22"/>
              </w:rPr>
              <w:t>:</w:t>
            </w:r>
            <w:r w:rsidR="007E25A1" w:rsidRPr="00B61DD1">
              <w:rPr>
                <w:rStyle w:val="apple-converted-space"/>
                <w:rFonts w:ascii="Arial" w:hAnsi="Arial" w:cs="Arial"/>
                <w:b/>
                <w:bCs/>
                <w:color w:val="212121"/>
                <w:sz w:val="22"/>
                <w:szCs w:val="22"/>
              </w:rPr>
              <w:t> </w:t>
            </w:r>
            <w:r w:rsidR="007E25A1" w:rsidRPr="00B61DD1">
              <w:rPr>
                <w:rFonts w:ascii="Arial" w:hAnsi="Arial" w:cs="Arial"/>
                <w:b/>
                <w:bCs/>
                <w:color w:val="212121"/>
                <w:sz w:val="22"/>
                <w:szCs w:val="22"/>
              </w:rPr>
              <w:t>What can we learn from small islands</w:t>
            </w:r>
            <w:r w:rsidRPr="00B61DD1">
              <w:rPr>
                <w:rFonts w:ascii="Arial" w:hAnsi="Arial" w:cs="Arial"/>
                <w:b/>
                <w:bCs/>
                <w:color w:val="212121"/>
                <w:sz w:val="22"/>
                <w:szCs w:val="22"/>
              </w:rPr>
              <w:t>?</w:t>
            </w:r>
          </w:p>
          <w:p w14:paraId="393C0CC7" w14:textId="77777777" w:rsidR="007E25A1" w:rsidRDefault="007E25A1" w:rsidP="007E25A1">
            <w:pPr>
              <w:pStyle w:val="xxmsonormal"/>
              <w:spacing w:before="0" w:beforeAutospacing="0" w:after="0" w:afterAutospacing="0"/>
              <w:rPr>
                <w:rFonts w:ascii="Calibri" w:hAnsi="Calibri" w:cs="Calibri"/>
                <w:b/>
                <w:bCs/>
                <w:color w:val="212121"/>
                <w:sz w:val="28"/>
                <w:szCs w:val="28"/>
              </w:rPr>
            </w:pPr>
          </w:p>
          <w:p w14:paraId="2826EC12" w14:textId="77777777" w:rsidR="007E25A1" w:rsidRDefault="007E25A1" w:rsidP="007E25A1">
            <w:pPr>
              <w:rPr>
                <w:rFonts w:ascii="Arial" w:hAnsi="Arial" w:cs="Arial"/>
                <w:i/>
                <w:iCs/>
                <w:sz w:val="22"/>
                <w:szCs w:val="22"/>
              </w:rPr>
            </w:pPr>
            <w:r w:rsidRPr="00CA4B72">
              <w:rPr>
                <w:rFonts w:ascii="Arial" w:hAnsi="Arial" w:cs="Arial"/>
                <w:i/>
                <w:iCs/>
                <w:sz w:val="22"/>
                <w:szCs w:val="22"/>
              </w:rPr>
              <w:t>Simron J. Singh, University of Waterloo, Canada</w:t>
            </w:r>
          </w:p>
          <w:p w14:paraId="3F7D1534" w14:textId="77777777" w:rsidR="00C8423A" w:rsidRPr="009C75AE" w:rsidRDefault="00C8423A" w:rsidP="00B61DD1">
            <w:pPr>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5663420E" w14:textId="77777777" w:rsidR="002B2372" w:rsidRDefault="002B2372" w:rsidP="007E25A1">
            <w:pPr>
              <w:pStyle w:val="xxmsonormal"/>
              <w:spacing w:before="0" w:beforeAutospacing="0" w:after="0" w:afterAutospacing="0"/>
              <w:rPr>
                <w:rFonts w:ascii="Arial" w:hAnsi="Arial" w:cs="Arial"/>
                <w:color w:val="212121"/>
                <w:sz w:val="22"/>
                <w:szCs w:val="22"/>
              </w:rPr>
            </w:pPr>
          </w:p>
          <w:p w14:paraId="0D974364" w14:textId="2D8787DD" w:rsidR="00501460" w:rsidRDefault="007E25A1" w:rsidP="007E25A1">
            <w:pPr>
              <w:pStyle w:val="xxmsonormal"/>
              <w:spacing w:before="0" w:beforeAutospacing="0" w:after="0" w:afterAutospacing="0"/>
              <w:rPr>
                <w:rFonts w:ascii="Arial" w:hAnsi="Arial" w:cs="Arial"/>
                <w:sz w:val="22"/>
                <w:szCs w:val="22"/>
              </w:rPr>
            </w:pPr>
            <w:r w:rsidRPr="00FC2F97">
              <w:rPr>
                <w:rFonts w:ascii="Arial" w:hAnsi="Arial" w:cs="Arial"/>
                <w:color w:val="212121"/>
                <w:sz w:val="22"/>
                <w:szCs w:val="22"/>
              </w:rPr>
              <w:t>Projected to experience multiple interrelated risks at</w:t>
            </w:r>
            <w:r w:rsidRPr="00FC2F97">
              <w:rPr>
                <w:rStyle w:val="apple-converted-space"/>
                <w:rFonts w:ascii="Arial" w:hAnsi="Arial" w:cs="Arial"/>
                <w:color w:val="212121"/>
                <w:sz w:val="22"/>
                <w:szCs w:val="22"/>
              </w:rPr>
              <w:t> </w:t>
            </w:r>
            <w:r w:rsidRPr="00FC2F97">
              <w:rPr>
                <w:rStyle w:val="outlook-search-highlight"/>
                <w:rFonts w:ascii="Arial" w:hAnsi="Arial" w:cs="Arial"/>
                <w:color w:val="212121"/>
                <w:sz w:val="22"/>
                <w:szCs w:val="22"/>
              </w:rPr>
              <w:t>1.5</w:t>
            </w:r>
            <w:r w:rsidRPr="00FC2F97">
              <w:rPr>
                <w:rStyle w:val="apple-converted-space"/>
                <w:rFonts w:ascii="Arial" w:hAnsi="Arial" w:cs="Arial"/>
                <w:color w:val="212121"/>
                <w:sz w:val="22"/>
                <w:szCs w:val="22"/>
              </w:rPr>
              <w:t> </w:t>
            </w:r>
            <w:r w:rsidRPr="00FC2F97">
              <w:rPr>
                <w:rStyle w:val="outlook-search-highlight"/>
                <w:rFonts w:ascii="Arial" w:hAnsi="Arial" w:cs="Arial"/>
                <w:color w:val="212121"/>
                <w:sz w:val="22"/>
                <w:szCs w:val="22"/>
              </w:rPr>
              <w:t>°C</w:t>
            </w:r>
            <w:r w:rsidRPr="00FC2F97">
              <w:rPr>
                <w:rStyle w:val="apple-converted-space"/>
                <w:rFonts w:ascii="Arial" w:hAnsi="Arial" w:cs="Arial"/>
                <w:color w:val="212121"/>
                <w:sz w:val="22"/>
                <w:szCs w:val="22"/>
              </w:rPr>
              <w:t> </w:t>
            </w:r>
            <w:r w:rsidRPr="00FC2F97">
              <w:rPr>
                <w:rFonts w:ascii="Arial" w:hAnsi="Arial" w:cs="Arial"/>
                <w:color w:val="212121"/>
                <w:sz w:val="22"/>
                <w:szCs w:val="22"/>
              </w:rPr>
              <w:t xml:space="preserve">of global warming, Small Island Developing States (SIDS) are often referred to as ‘canaries in the climate change coal mine’. The IPCC reports with high-to-medium confidence about the long-term risks of global warming on SIDS, with severe impacts on populations, livelihoods, and infrastructure, and critical resources such as food, energy, and water, that limit adaptation opportunities as well. Enhanced understanding of what might constitute tipping points in the context of SIDS that lend to their vulnerability, therefore, remains crucial. </w:t>
            </w:r>
            <w:r w:rsidRPr="00FC2F97">
              <w:rPr>
                <w:rFonts w:ascii="Arial" w:hAnsi="Arial" w:cs="Arial"/>
                <w:sz w:val="22"/>
                <w:szCs w:val="22"/>
              </w:rPr>
              <w:t xml:space="preserve">Recent research has revealed a strong co-relation between a societies’ resource-use pattern and exposure to risk. </w:t>
            </w:r>
          </w:p>
          <w:p w14:paraId="65F3188F" w14:textId="77777777" w:rsidR="00501460" w:rsidRDefault="00501460" w:rsidP="007E25A1">
            <w:pPr>
              <w:pStyle w:val="xxmsonormal"/>
              <w:spacing w:before="0" w:beforeAutospacing="0" w:after="0" w:afterAutospacing="0"/>
              <w:rPr>
                <w:rFonts w:ascii="Arial" w:hAnsi="Arial" w:cs="Arial"/>
                <w:sz w:val="22"/>
                <w:szCs w:val="22"/>
              </w:rPr>
            </w:pPr>
          </w:p>
          <w:p w14:paraId="3737796A" w14:textId="77777777" w:rsidR="00501460" w:rsidRDefault="00501460" w:rsidP="00501460">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A03B6F3" w14:textId="77777777" w:rsidR="00501460" w:rsidRDefault="00501460" w:rsidP="007E25A1">
            <w:pPr>
              <w:pStyle w:val="xxmsonormal"/>
              <w:spacing w:before="0" w:beforeAutospacing="0" w:after="0" w:afterAutospacing="0"/>
              <w:rPr>
                <w:rFonts w:ascii="Arial" w:hAnsi="Arial" w:cs="Arial"/>
                <w:sz w:val="22"/>
                <w:szCs w:val="22"/>
              </w:rPr>
            </w:pPr>
          </w:p>
          <w:p w14:paraId="3E222437" w14:textId="1E8EE6B8" w:rsidR="000E6FA8" w:rsidRPr="000E6FA8" w:rsidRDefault="002B2372" w:rsidP="000E6FA8">
            <w:pPr>
              <w:pStyle w:val="xxmsonormal"/>
              <w:spacing w:before="0" w:beforeAutospacing="0" w:after="0" w:afterAutospacing="0"/>
              <w:rPr>
                <w:rFonts w:ascii="Arial" w:hAnsi="Arial" w:cs="Arial"/>
                <w:sz w:val="22"/>
                <w:szCs w:val="22"/>
              </w:rPr>
            </w:pPr>
            <w:r w:rsidRPr="00FC2F97">
              <w:rPr>
                <w:rFonts w:ascii="Arial" w:hAnsi="Arial" w:cs="Arial"/>
                <w:sz w:val="22"/>
                <w:szCs w:val="22"/>
              </w:rPr>
              <w:t xml:space="preserve">Drawing on the analogy </w:t>
            </w:r>
            <w:r>
              <w:rPr>
                <w:rFonts w:ascii="Arial" w:hAnsi="Arial" w:cs="Arial"/>
                <w:sz w:val="22"/>
                <w:szCs w:val="22"/>
              </w:rPr>
              <w:t xml:space="preserve">that </w:t>
            </w:r>
            <w:r w:rsidRPr="00FC2F97">
              <w:rPr>
                <w:rFonts w:ascii="Arial" w:hAnsi="Arial" w:cs="Arial"/>
                <w:sz w:val="22"/>
                <w:szCs w:val="22"/>
              </w:rPr>
              <w:t>island</w:t>
            </w:r>
            <w:r>
              <w:rPr>
                <w:rFonts w:ascii="Arial" w:hAnsi="Arial" w:cs="Arial"/>
                <w:sz w:val="22"/>
                <w:szCs w:val="22"/>
              </w:rPr>
              <w:t xml:space="preserve">s function like organisms – organizing material and energy flows to sustain their populations </w:t>
            </w:r>
            <w:r w:rsidR="00607817">
              <w:rPr>
                <w:rFonts w:ascii="Arial" w:hAnsi="Arial" w:cs="Arial"/>
                <w:sz w:val="22"/>
                <w:szCs w:val="22"/>
              </w:rPr>
              <w:t>–</w:t>
            </w:r>
            <w:r>
              <w:rPr>
                <w:rFonts w:ascii="Arial" w:hAnsi="Arial" w:cs="Arial"/>
                <w:sz w:val="22"/>
                <w:szCs w:val="22"/>
              </w:rPr>
              <w:t xml:space="preserve"> </w:t>
            </w:r>
            <w:r w:rsidRPr="00FC2F97">
              <w:rPr>
                <w:rFonts w:ascii="Arial" w:hAnsi="Arial" w:cs="Arial"/>
                <w:sz w:val="22"/>
                <w:szCs w:val="22"/>
              </w:rPr>
              <w:t>th</w:t>
            </w:r>
            <w:r w:rsidR="00607817">
              <w:rPr>
                <w:rFonts w:ascii="Arial" w:hAnsi="Arial" w:cs="Arial"/>
                <w:sz w:val="22"/>
                <w:szCs w:val="22"/>
              </w:rPr>
              <w:t>e primary objective of this</w:t>
            </w:r>
            <w:r w:rsidRPr="00FC2F97">
              <w:rPr>
                <w:rFonts w:ascii="Arial" w:hAnsi="Arial" w:cs="Arial"/>
                <w:sz w:val="22"/>
                <w:szCs w:val="22"/>
              </w:rPr>
              <w:t xml:space="preserve"> presentation </w:t>
            </w:r>
            <w:r w:rsidR="00607817">
              <w:rPr>
                <w:rFonts w:ascii="Arial" w:hAnsi="Arial" w:cs="Arial"/>
                <w:sz w:val="22"/>
                <w:szCs w:val="22"/>
              </w:rPr>
              <w:t xml:space="preserve">is to </w:t>
            </w:r>
            <w:r w:rsidRPr="00FC2F97">
              <w:rPr>
                <w:rFonts w:ascii="Arial" w:hAnsi="Arial" w:cs="Arial"/>
                <w:sz w:val="22"/>
                <w:szCs w:val="22"/>
              </w:rPr>
              <w:t xml:space="preserve">introduce </w:t>
            </w:r>
            <w:r w:rsidR="00607817">
              <w:rPr>
                <w:rFonts w:ascii="Arial" w:hAnsi="Arial" w:cs="Arial"/>
                <w:sz w:val="22"/>
                <w:szCs w:val="22"/>
              </w:rPr>
              <w:t xml:space="preserve">and illustrate </w:t>
            </w:r>
            <w:r w:rsidRPr="00FC2F97">
              <w:rPr>
                <w:rFonts w:ascii="Arial" w:hAnsi="Arial" w:cs="Arial"/>
                <w:sz w:val="22"/>
                <w:szCs w:val="22"/>
              </w:rPr>
              <w:t>the notion of "socio-metabolic risk"</w:t>
            </w:r>
            <w:r>
              <w:rPr>
                <w:rFonts w:ascii="Arial" w:hAnsi="Arial" w:cs="Arial"/>
                <w:sz w:val="22"/>
                <w:szCs w:val="22"/>
              </w:rPr>
              <w:t xml:space="preserve"> i.e., s</w:t>
            </w:r>
            <w:r w:rsidRPr="00FC2F97">
              <w:rPr>
                <w:rFonts w:ascii="Arial" w:hAnsi="Arial" w:cs="Arial"/>
                <w:sz w:val="22"/>
                <w:szCs w:val="22"/>
              </w:rPr>
              <w:t xml:space="preserve">ystemic </w:t>
            </w:r>
            <w:r>
              <w:rPr>
                <w:rFonts w:ascii="Arial" w:hAnsi="Arial" w:cs="Arial"/>
                <w:sz w:val="22"/>
                <w:szCs w:val="22"/>
              </w:rPr>
              <w:t xml:space="preserve">risks arising </w:t>
            </w:r>
            <w:r w:rsidRPr="00FC2F97">
              <w:rPr>
                <w:rFonts w:ascii="Arial" w:hAnsi="Arial" w:cs="Arial"/>
                <w:sz w:val="22"/>
                <w:szCs w:val="22"/>
              </w:rPr>
              <w:t xml:space="preserve">from the availability and circulation of crucial resources such as food, water, materials, and </w:t>
            </w:r>
            <w:r w:rsidRPr="000E6FA8">
              <w:rPr>
                <w:rFonts w:ascii="Arial" w:hAnsi="Arial" w:cs="Arial"/>
                <w:sz w:val="22"/>
                <w:szCs w:val="22"/>
              </w:rPr>
              <w:t>energy within a socio-economic system. Socio-metabolic risks, like circulatory health issues in humans, impede the entity's resilience against significant shocks and alterations.</w:t>
            </w:r>
            <w:r w:rsidR="00607817" w:rsidRPr="000E6FA8">
              <w:rPr>
                <w:rFonts w:ascii="Arial" w:hAnsi="Arial" w:cs="Arial"/>
                <w:sz w:val="22"/>
                <w:szCs w:val="22"/>
              </w:rPr>
              <w:t xml:space="preserve"> </w:t>
            </w:r>
            <w:r w:rsidR="000652D3">
              <w:rPr>
                <w:rFonts w:ascii="Arial" w:hAnsi="Arial" w:cs="Arial"/>
                <w:sz w:val="22"/>
                <w:szCs w:val="22"/>
              </w:rPr>
              <w:t>In this presentation, r</w:t>
            </w:r>
            <w:r w:rsidR="00607817" w:rsidRPr="000E6FA8">
              <w:rPr>
                <w:rFonts w:ascii="Arial" w:hAnsi="Arial" w:cs="Arial"/>
                <w:sz w:val="22"/>
                <w:szCs w:val="22"/>
              </w:rPr>
              <w:t>esults from studies in the Caribbean and Asia-Pacific islands</w:t>
            </w:r>
            <w:r w:rsidR="005B5C55" w:rsidRPr="000E6FA8">
              <w:rPr>
                <w:rFonts w:ascii="Arial" w:hAnsi="Arial" w:cs="Arial"/>
                <w:sz w:val="22"/>
                <w:szCs w:val="22"/>
              </w:rPr>
              <w:t xml:space="preserve"> </w:t>
            </w:r>
            <w:r w:rsidR="000652D3">
              <w:rPr>
                <w:rFonts w:ascii="Arial" w:hAnsi="Arial" w:cs="Arial"/>
                <w:sz w:val="22"/>
                <w:szCs w:val="22"/>
              </w:rPr>
              <w:t xml:space="preserve">will </w:t>
            </w:r>
            <w:r w:rsidR="00607817" w:rsidRPr="000E6FA8">
              <w:rPr>
                <w:rFonts w:ascii="Arial" w:hAnsi="Arial" w:cs="Arial"/>
                <w:sz w:val="22"/>
                <w:szCs w:val="22"/>
              </w:rPr>
              <w:t xml:space="preserve">evaluate </w:t>
            </w:r>
            <w:r w:rsidRPr="000E6FA8">
              <w:rPr>
                <w:rFonts w:ascii="Arial" w:hAnsi="Arial" w:cs="Arial"/>
                <w:sz w:val="22"/>
                <w:szCs w:val="22"/>
              </w:rPr>
              <w:t>how small island economies utilize (or metabolize) materials, energy, water, and infrastructure</w:t>
            </w:r>
            <w:r w:rsidR="00607817" w:rsidRPr="000E6FA8">
              <w:rPr>
                <w:rFonts w:ascii="Arial" w:hAnsi="Arial" w:cs="Arial"/>
                <w:sz w:val="22"/>
                <w:szCs w:val="22"/>
              </w:rPr>
              <w:t xml:space="preserve">, </w:t>
            </w:r>
            <w:r w:rsidR="000652D3">
              <w:rPr>
                <w:rFonts w:ascii="Arial" w:hAnsi="Arial" w:cs="Arial"/>
                <w:sz w:val="22"/>
                <w:szCs w:val="22"/>
              </w:rPr>
              <w:t xml:space="preserve">Furthermore, </w:t>
            </w:r>
            <w:r w:rsidR="000E6FA8" w:rsidRPr="000E6FA8">
              <w:rPr>
                <w:rFonts w:ascii="Arial" w:hAnsi="Arial" w:cs="Arial"/>
                <w:sz w:val="22"/>
                <w:szCs w:val="22"/>
              </w:rPr>
              <w:t>why and how these consumption patterns (or island metabolism) may accumulate “socio-metabolic risk” over time that increase their susceptibility to the challenges of climate change.</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77777777" w:rsidR="0065012F" w:rsidRDefault="0065012F" w:rsidP="00706DED">
            <w:pPr>
              <w:jc w:val="both"/>
              <w:rPr>
                <w:rFonts w:ascii="Arial" w:hAnsi="Arial" w:cs="Arial"/>
                <w:b/>
                <w:sz w:val="22"/>
                <w:szCs w:val="22"/>
              </w:rPr>
            </w:pPr>
          </w:p>
          <w:p w14:paraId="1E37ECC0" w14:textId="64972AF5" w:rsidR="002B2372" w:rsidRDefault="002B2372" w:rsidP="002B2372">
            <w:pPr>
              <w:pStyle w:val="xxmsonormal"/>
              <w:spacing w:before="0" w:beforeAutospacing="0" w:after="0" w:afterAutospacing="0"/>
              <w:rPr>
                <w:rFonts w:ascii="Arial" w:hAnsi="Arial" w:cs="Arial"/>
                <w:sz w:val="22"/>
                <w:szCs w:val="22"/>
              </w:rPr>
            </w:pPr>
            <w:r>
              <w:rPr>
                <w:rFonts w:ascii="Arial" w:hAnsi="Arial" w:cs="Arial"/>
                <w:sz w:val="22"/>
                <w:szCs w:val="22"/>
              </w:rPr>
              <w:t xml:space="preserve">Socio-metabolic research </w:t>
            </w:r>
            <w:r w:rsidR="00607817">
              <w:rPr>
                <w:rFonts w:ascii="Arial" w:hAnsi="Arial" w:cs="Arial"/>
                <w:sz w:val="22"/>
                <w:szCs w:val="22"/>
              </w:rPr>
              <w:t xml:space="preserve">(SMR) </w:t>
            </w:r>
            <w:r>
              <w:rPr>
                <w:rFonts w:ascii="Arial" w:hAnsi="Arial" w:cs="Arial"/>
                <w:sz w:val="22"/>
                <w:szCs w:val="22"/>
              </w:rPr>
              <w:t xml:space="preserve">was conducted in several SIDS in the Caribbean and in the </w:t>
            </w:r>
            <w:r w:rsidR="00607817">
              <w:rPr>
                <w:rFonts w:ascii="Arial" w:hAnsi="Arial" w:cs="Arial"/>
                <w:sz w:val="22"/>
                <w:szCs w:val="22"/>
              </w:rPr>
              <w:t xml:space="preserve">Asia-Pacific islands </w:t>
            </w:r>
            <w:r>
              <w:rPr>
                <w:rFonts w:ascii="Arial" w:hAnsi="Arial" w:cs="Arial"/>
                <w:sz w:val="22"/>
                <w:szCs w:val="22"/>
              </w:rPr>
              <w:t xml:space="preserve">using GIS-based-material stock and flow analysis to track different resources in space and time. </w:t>
            </w:r>
            <w:r w:rsidR="00771874">
              <w:rPr>
                <w:rFonts w:ascii="Arial" w:hAnsi="Arial" w:cs="Arial"/>
                <w:sz w:val="22"/>
                <w:szCs w:val="22"/>
              </w:rPr>
              <w:t xml:space="preserve">Resources </w:t>
            </w:r>
            <w:r w:rsidR="00607817">
              <w:rPr>
                <w:rFonts w:ascii="Arial" w:hAnsi="Arial" w:cs="Arial"/>
                <w:sz w:val="22"/>
                <w:szCs w:val="22"/>
              </w:rPr>
              <w:t>tracked were biomass, construction materials, fossil fuels, metals and minerals, and waste flows, including e-waste.</w:t>
            </w:r>
          </w:p>
          <w:p w14:paraId="7CA7361C" w14:textId="77777777" w:rsidR="002B2372" w:rsidRDefault="002B2372"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77777777" w:rsidR="0065012F" w:rsidRDefault="0065012F" w:rsidP="00706DED">
            <w:pPr>
              <w:jc w:val="both"/>
              <w:rPr>
                <w:rFonts w:ascii="Arial" w:hAnsi="Arial" w:cs="Arial"/>
                <w:b/>
                <w:sz w:val="22"/>
                <w:szCs w:val="22"/>
              </w:rPr>
            </w:pPr>
          </w:p>
          <w:p w14:paraId="1A3F978E" w14:textId="1FE4042D" w:rsidR="00771874" w:rsidRPr="000C73BC" w:rsidRDefault="00771874" w:rsidP="000E6FA8">
            <w:pPr>
              <w:pStyle w:val="xxmsonormal"/>
              <w:spacing w:before="0" w:beforeAutospacing="0" w:after="0" w:afterAutospacing="0"/>
              <w:rPr>
                <w:rFonts w:ascii="Arial" w:hAnsi="Arial" w:cs="Arial"/>
                <w:sz w:val="22"/>
                <w:szCs w:val="22"/>
              </w:rPr>
            </w:pPr>
            <w:r>
              <w:rPr>
                <w:rFonts w:ascii="Arial" w:hAnsi="Arial" w:cs="Arial"/>
                <w:color w:val="212121"/>
                <w:sz w:val="22"/>
                <w:szCs w:val="22"/>
              </w:rPr>
              <w:t xml:space="preserve">Results </w:t>
            </w:r>
            <w:r w:rsidR="00607817">
              <w:rPr>
                <w:rFonts w:ascii="Arial" w:hAnsi="Arial" w:cs="Arial"/>
                <w:color w:val="212121"/>
                <w:sz w:val="22"/>
                <w:szCs w:val="22"/>
              </w:rPr>
              <w:t xml:space="preserve">from multiple studies are synthesized to gain insights into the metabolic </w:t>
            </w:r>
            <w:r w:rsidR="000652D3">
              <w:rPr>
                <w:rFonts w:ascii="Arial" w:hAnsi="Arial" w:cs="Arial"/>
                <w:color w:val="212121"/>
                <w:sz w:val="22"/>
                <w:szCs w:val="22"/>
              </w:rPr>
              <w:t xml:space="preserve">profiles </w:t>
            </w:r>
            <w:r w:rsidR="00607817">
              <w:rPr>
                <w:rFonts w:ascii="Arial" w:hAnsi="Arial" w:cs="Arial"/>
                <w:color w:val="212121"/>
                <w:sz w:val="22"/>
                <w:szCs w:val="22"/>
              </w:rPr>
              <w:t xml:space="preserve">of SIDS. </w:t>
            </w:r>
            <w:r>
              <w:rPr>
                <w:rFonts w:ascii="Arial" w:hAnsi="Arial" w:cs="Arial"/>
                <w:color w:val="212121"/>
                <w:sz w:val="22"/>
                <w:szCs w:val="22"/>
              </w:rPr>
              <w:t>Key findings from i</w:t>
            </w:r>
            <w:r w:rsidR="00501460" w:rsidRPr="00FC2F97">
              <w:rPr>
                <w:rFonts w:ascii="Arial" w:hAnsi="Arial" w:cs="Arial"/>
                <w:sz w:val="22"/>
                <w:szCs w:val="22"/>
              </w:rPr>
              <w:t>sland socio-metabolic research (</w:t>
            </w:r>
            <w:r>
              <w:rPr>
                <w:rFonts w:ascii="Arial" w:hAnsi="Arial" w:cs="Arial"/>
                <w:sz w:val="22"/>
                <w:szCs w:val="22"/>
              </w:rPr>
              <w:t>island-</w:t>
            </w:r>
            <w:r w:rsidR="00501460" w:rsidRPr="00FC2F97">
              <w:rPr>
                <w:rFonts w:ascii="Arial" w:hAnsi="Arial" w:cs="Arial"/>
                <w:sz w:val="22"/>
                <w:szCs w:val="22"/>
              </w:rPr>
              <w:t xml:space="preserve">SMR) </w:t>
            </w:r>
            <w:r w:rsidR="00607817">
              <w:rPr>
                <w:rFonts w:ascii="Arial" w:hAnsi="Arial" w:cs="Arial"/>
                <w:sz w:val="22"/>
                <w:szCs w:val="22"/>
              </w:rPr>
              <w:t xml:space="preserve">highlights </w:t>
            </w:r>
            <w:r w:rsidR="00501460" w:rsidRPr="00FC2F97">
              <w:rPr>
                <w:rFonts w:ascii="Arial" w:hAnsi="Arial" w:cs="Arial"/>
                <w:sz w:val="22"/>
                <w:szCs w:val="22"/>
              </w:rPr>
              <w:t>vulnerabilities embedded in resource consumption patterns</w:t>
            </w:r>
            <w:r w:rsidR="00607817">
              <w:rPr>
                <w:rFonts w:ascii="Arial" w:hAnsi="Arial" w:cs="Arial"/>
                <w:sz w:val="22"/>
                <w:szCs w:val="22"/>
              </w:rPr>
              <w:t xml:space="preserve">, that </w:t>
            </w:r>
            <w:r w:rsidR="00501460" w:rsidRPr="00FC2F97">
              <w:rPr>
                <w:rFonts w:ascii="Arial" w:hAnsi="Arial" w:cs="Arial"/>
                <w:sz w:val="22"/>
                <w:szCs w:val="22"/>
              </w:rPr>
              <w:t xml:space="preserve">are exacerbated during crises, including </w:t>
            </w:r>
            <w:r w:rsidR="00501460" w:rsidRPr="000C73BC">
              <w:rPr>
                <w:rFonts w:ascii="Arial" w:hAnsi="Arial" w:cs="Arial"/>
                <w:sz w:val="22"/>
                <w:szCs w:val="22"/>
              </w:rPr>
              <w:t xml:space="preserve">disasters, conflicts, pandemics, and geopolitical tensions, leading to a cycle of calamities, and fostering negative feedback loops. </w:t>
            </w:r>
            <w:r w:rsidRPr="000C73BC">
              <w:rPr>
                <w:rFonts w:ascii="Arial" w:hAnsi="Arial" w:cs="Arial"/>
                <w:sz w:val="22"/>
                <w:szCs w:val="22"/>
                <w:lang w:val="en-US"/>
              </w:rPr>
              <w:t>We also observe an</w:t>
            </w:r>
            <w:r w:rsidRPr="000C73BC">
              <w:rPr>
                <w:rFonts w:ascii="Arial" w:hAnsi="Arial" w:cs="Arial"/>
                <w:sz w:val="22"/>
                <w:szCs w:val="22"/>
                <w:lang w:val="en-CA"/>
              </w:rPr>
              <w:t xml:space="preserve"> escalating cycle of material demand for climate adaptation that drives economic and material lock-in effects, amplifying future risks</w:t>
            </w:r>
            <w:r w:rsidR="000E6FA8" w:rsidRPr="000C73BC">
              <w:rPr>
                <w:rFonts w:ascii="Arial" w:hAnsi="Arial" w:cs="Arial"/>
                <w:sz w:val="22"/>
                <w:szCs w:val="22"/>
                <w:lang w:val="en-CA"/>
              </w:rPr>
              <w:t>.</w:t>
            </w:r>
          </w:p>
          <w:p w14:paraId="4953B8B4" w14:textId="77777777" w:rsidR="00501460" w:rsidRPr="000C73BC" w:rsidRDefault="00501460"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lastRenderedPageBreak/>
              <w:t>S</w:t>
            </w:r>
            <w:r w:rsidRPr="0065012F">
              <w:rPr>
                <w:rFonts w:ascii="Arial" w:hAnsi="Arial" w:cs="Arial"/>
                <w:b/>
                <w:sz w:val="22"/>
                <w:szCs w:val="22"/>
              </w:rPr>
              <w:t xml:space="preserve">ignificance of the work for policy and practice </w:t>
            </w:r>
          </w:p>
          <w:p w14:paraId="2DBC4004" w14:textId="77777777" w:rsidR="00771874" w:rsidRDefault="00771874" w:rsidP="00771874">
            <w:pPr>
              <w:pStyle w:val="xxmsonormal"/>
              <w:spacing w:before="0" w:beforeAutospacing="0" w:after="0" w:afterAutospacing="0"/>
              <w:rPr>
                <w:rFonts w:ascii="Arial" w:hAnsi="Arial" w:cs="Arial"/>
                <w:sz w:val="22"/>
                <w:szCs w:val="22"/>
              </w:rPr>
            </w:pPr>
          </w:p>
          <w:p w14:paraId="046EB2DB" w14:textId="79FFAF5F" w:rsidR="00147462" w:rsidRPr="00147462" w:rsidRDefault="000652D3" w:rsidP="00147462">
            <w:pPr>
              <w:pStyle w:val="xxmsonormal"/>
              <w:spacing w:before="0" w:beforeAutospacing="0" w:after="0" w:afterAutospacing="0"/>
              <w:rPr>
                <w:rFonts w:ascii="Arial" w:hAnsi="Arial" w:cs="Arial"/>
                <w:sz w:val="22"/>
                <w:szCs w:val="22"/>
              </w:rPr>
            </w:pPr>
            <w:r>
              <w:rPr>
                <w:rFonts w:ascii="Arial" w:hAnsi="Arial" w:cs="Arial"/>
                <w:sz w:val="22"/>
                <w:szCs w:val="22"/>
              </w:rPr>
              <w:t>T</w:t>
            </w:r>
            <w:r w:rsidR="00771874" w:rsidRPr="00147462">
              <w:rPr>
                <w:rFonts w:ascii="Arial" w:hAnsi="Arial" w:cs="Arial"/>
                <w:sz w:val="22"/>
                <w:szCs w:val="22"/>
              </w:rPr>
              <w:t>he talk argues that mitigating socio-metabolic risks is crucial for islands to withstand and adapt to climate impacts, and avoid cascading dysfunction of environmental, economic, and social systems.</w:t>
            </w:r>
            <w:r w:rsidR="00147462" w:rsidRPr="00147462">
              <w:rPr>
                <w:rFonts w:ascii="Arial" w:hAnsi="Arial" w:cs="Arial"/>
                <w:sz w:val="22"/>
                <w:szCs w:val="22"/>
              </w:rPr>
              <w:t xml:space="preserve"> Proactive policies prioritizing sustainability in infrastructure development are crucial, as well as transformative pathways for SIDS to transition to a more sustainable, circular resource-use model, thereby bolstering their overall resilience to the impact of climate change. By addressing the complex dynamics of material stock, flows, and service provision, policymakers can mitigate risks and safeguard the long-term well-being of societies, particularly in vulnerable regions like SIDS. </w:t>
            </w:r>
          </w:p>
          <w:p w14:paraId="76A07328" w14:textId="77777777" w:rsidR="00147462" w:rsidRDefault="00147462" w:rsidP="00706DED">
            <w:pPr>
              <w:jc w:val="both"/>
              <w:rPr>
                <w:rFonts w:ascii="Arial" w:hAnsi="Arial" w:cs="Arial"/>
                <w:b/>
                <w:sz w:val="22"/>
                <w:szCs w:val="22"/>
              </w:rPr>
            </w:pP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5FA7102"/>
    <w:multiLevelType w:val="hybridMultilevel"/>
    <w:tmpl w:val="FFFFFFFF"/>
    <w:lvl w:ilvl="0" w:tplc="D3AE3380">
      <w:start w:val="1"/>
      <w:numFmt w:val="decimal"/>
      <w:lvlText w:val="%1."/>
      <w:lvlJc w:val="left"/>
      <w:pPr>
        <w:ind w:left="720" w:hanging="360"/>
      </w:pPr>
    </w:lvl>
    <w:lvl w:ilvl="1" w:tplc="2A2E718E">
      <w:start w:val="1"/>
      <w:numFmt w:val="lowerLetter"/>
      <w:lvlText w:val="%2."/>
      <w:lvlJc w:val="left"/>
      <w:pPr>
        <w:ind w:left="1440" w:hanging="360"/>
      </w:pPr>
    </w:lvl>
    <w:lvl w:ilvl="2" w:tplc="BE5EB690">
      <w:start w:val="1"/>
      <w:numFmt w:val="lowerRoman"/>
      <w:lvlText w:val="%3."/>
      <w:lvlJc w:val="right"/>
      <w:pPr>
        <w:ind w:left="2160" w:hanging="180"/>
      </w:pPr>
    </w:lvl>
    <w:lvl w:ilvl="3" w:tplc="539A9AFC">
      <w:start w:val="1"/>
      <w:numFmt w:val="decimal"/>
      <w:lvlText w:val="%4."/>
      <w:lvlJc w:val="left"/>
      <w:pPr>
        <w:ind w:left="2880" w:hanging="360"/>
      </w:pPr>
    </w:lvl>
    <w:lvl w:ilvl="4" w:tplc="4C96A5E8">
      <w:start w:val="1"/>
      <w:numFmt w:val="lowerLetter"/>
      <w:lvlText w:val="%5."/>
      <w:lvlJc w:val="left"/>
      <w:pPr>
        <w:ind w:left="3600" w:hanging="360"/>
      </w:pPr>
    </w:lvl>
    <w:lvl w:ilvl="5" w:tplc="5AE804A6">
      <w:start w:val="1"/>
      <w:numFmt w:val="lowerRoman"/>
      <w:lvlText w:val="%6."/>
      <w:lvlJc w:val="right"/>
      <w:pPr>
        <w:ind w:left="4320" w:hanging="180"/>
      </w:pPr>
    </w:lvl>
    <w:lvl w:ilvl="6" w:tplc="C7523058">
      <w:start w:val="1"/>
      <w:numFmt w:val="decimal"/>
      <w:lvlText w:val="%7."/>
      <w:lvlJc w:val="left"/>
      <w:pPr>
        <w:ind w:left="5040" w:hanging="360"/>
      </w:pPr>
    </w:lvl>
    <w:lvl w:ilvl="7" w:tplc="E8DE3FC4">
      <w:start w:val="1"/>
      <w:numFmt w:val="lowerLetter"/>
      <w:lvlText w:val="%8."/>
      <w:lvlJc w:val="left"/>
      <w:pPr>
        <w:ind w:left="5760" w:hanging="360"/>
      </w:pPr>
    </w:lvl>
    <w:lvl w:ilvl="8" w:tplc="BFB40F88">
      <w:start w:val="1"/>
      <w:numFmt w:val="lowerRoman"/>
      <w:lvlText w:val="%9."/>
      <w:lvlJc w:val="right"/>
      <w:pPr>
        <w:ind w:left="6480" w:hanging="180"/>
      </w:p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1064914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652D3"/>
    <w:rsid w:val="000C73BC"/>
    <w:rsid w:val="000E6FA8"/>
    <w:rsid w:val="00105E39"/>
    <w:rsid w:val="00132AE5"/>
    <w:rsid w:val="00147462"/>
    <w:rsid w:val="00155315"/>
    <w:rsid w:val="00247C60"/>
    <w:rsid w:val="00256963"/>
    <w:rsid w:val="002B2372"/>
    <w:rsid w:val="002E3AA3"/>
    <w:rsid w:val="00317356"/>
    <w:rsid w:val="0034503D"/>
    <w:rsid w:val="00354C31"/>
    <w:rsid w:val="0037036D"/>
    <w:rsid w:val="00375B20"/>
    <w:rsid w:val="00386D01"/>
    <w:rsid w:val="004049E7"/>
    <w:rsid w:val="00462B90"/>
    <w:rsid w:val="004828A0"/>
    <w:rsid w:val="004B69C7"/>
    <w:rsid w:val="004D193B"/>
    <w:rsid w:val="004E2861"/>
    <w:rsid w:val="004F4CE8"/>
    <w:rsid w:val="004F5C81"/>
    <w:rsid w:val="00501460"/>
    <w:rsid w:val="0053222C"/>
    <w:rsid w:val="005469BD"/>
    <w:rsid w:val="00550B17"/>
    <w:rsid w:val="005854B8"/>
    <w:rsid w:val="005B5C55"/>
    <w:rsid w:val="00607817"/>
    <w:rsid w:val="0065012F"/>
    <w:rsid w:val="0068043B"/>
    <w:rsid w:val="00681CA7"/>
    <w:rsid w:val="00771874"/>
    <w:rsid w:val="007E25A1"/>
    <w:rsid w:val="008235E8"/>
    <w:rsid w:val="008773DF"/>
    <w:rsid w:val="008B01BA"/>
    <w:rsid w:val="008B50A0"/>
    <w:rsid w:val="008C0C35"/>
    <w:rsid w:val="008C22AD"/>
    <w:rsid w:val="008C2633"/>
    <w:rsid w:val="008E3D8D"/>
    <w:rsid w:val="008F2F93"/>
    <w:rsid w:val="009010B0"/>
    <w:rsid w:val="00906B39"/>
    <w:rsid w:val="00963443"/>
    <w:rsid w:val="009A6509"/>
    <w:rsid w:val="009C374A"/>
    <w:rsid w:val="009F4EA0"/>
    <w:rsid w:val="00B026E8"/>
    <w:rsid w:val="00B61DD1"/>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customStyle="1" w:styleId="xxmsonormal">
    <w:name w:val="x_x_msonormal"/>
    <w:basedOn w:val="Normal"/>
    <w:rsid w:val="007E25A1"/>
    <w:pPr>
      <w:spacing w:before="100" w:beforeAutospacing="1" w:after="100" w:afterAutospacing="1"/>
    </w:pPr>
    <w:rPr>
      <w:rFonts w:ascii="Times New Roman" w:eastAsia="Times New Roman" w:hAnsi="Times New Roman" w:cs="Times New Roman"/>
      <w:lang w:eastAsia="en-US"/>
    </w:rPr>
  </w:style>
  <w:style w:type="character" w:customStyle="1" w:styleId="apple-converted-space">
    <w:name w:val="apple-converted-space"/>
    <w:basedOn w:val="DefaultParagraphFont"/>
    <w:rsid w:val="007E25A1"/>
  </w:style>
  <w:style w:type="character" w:customStyle="1" w:styleId="outlook-search-highlight">
    <w:name w:val="outlook-search-highlight"/>
    <w:basedOn w:val="DefaultParagraphFont"/>
    <w:rsid w:val="007E25A1"/>
  </w:style>
  <w:style w:type="paragraph" w:styleId="NormalWeb">
    <w:name w:val="Normal (Web)"/>
    <w:basedOn w:val="Normal"/>
    <w:uiPriority w:val="99"/>
    <w:unhideWhenUsed/>
    <w:rsid w:val="00147462"/>
    <w:pPr>
      <w:spacing w:before="100" w:beforeAutospacing="1" w:after="100" w:afterAutospacing="1"/>
    </w:pPr>
    <w:rPr>
      <w:rFonts w:ascii="Times New Roman" w:eastAsia="Times New Roman" w:hAnsi="Times New Roman" w:cs="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infopath/2007/PartnerControls"/>
    <ds:schemaRef ds:uri="http://purl.org/dc/elements/1.1/"/>
    <ds:schemaRef ds:uri="http://purl.org/dc/terms/"/>
    <ds:schemaRef ds:uri="http://schemas.microsoft.com/office/2006/metadata/properties"/>
    <ds:schemaRef ds:uri="http://purl.org/dc/dcmitype/"/>
    <ds:schemaRef ds:uri="6911e96c-4cc4-42d5-8e43-f93924cf6a05"/>
    <ds:schemaRef ds:uri="http://schemas.microsoft.com/office/2006/documentManagement/types"/>
    <ds:schemaRef ds:uri="http://schemas.openxmlformats.org/package/2006/metadata/core-properties"/>
    <ds:schemaRef ds:uri="cab52c9b-ab33-4221-8af9-54f8f2b86a80"/>
    <ds:schemaRef ds:uri="9c8a2b7b-0bee-4c48-b0a6-23db8982d3bc"/>
    <ds:schemaRef ds:uri="http://www.w3.org/XML/1998/namespace"/>
  </ds:schemaRefs>
</ds:datastoreItem>
</file>

<file path=customXml/itemProps3.xml><?xml version="1.0" encoding="utf-8"?>
<ds:datastoreItem xmlns:ds="http://schemas.openxmlformats.org/officeDocument/2006/customXml" ds:itemID="{8C460231-510D-4E01-8B6C-917CA2B8D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519</Words>
  <Characters>2960</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11</cp:revision>
  <dcterms:created xsi:type="dcterms:W3CDTF">2025-02-21T13:44:00Z</dcterms:created>
  <dcterms:modified xsi:type="dcterms:W3CDTF">2025-08-13T19:49:00Z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