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B6590A" w:rsidRDefault="009C374A" w:rsidP="00B6590A">
      <w:pPr>
        <w:spacing w:before="40" w:after="120" w:line="259" w:lineRule="auto"/>
        <w:rPr>
          <w:rFonts w:ascii="Arial" w:hAnsi="Arial" w:cs="Arial"/>
          <w:b/>
          <w:bCs/>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B6590A" w14:paraId="3CA33060" w14:textId="77777777" w:rsidTr="009F4EA0">
        <w:tc>
          <w:tcPr>
            <w:tcW w:w="8640" w:type="dxa"/>
            <w:shd w:val="clear" w:color="auto" w:fill="F2F2F2" w:themeFill="background1" w:themeFillShade="F2"/>
          </w:tcPr>
          <w:p w14:paraId="6BC430B0" w14:textId="77777777" w:rsidR="00123D02" w:rsidRPr="00123D02" w:rsidRDefault="00123D02" w:rsidP="00B6590A">
            <w:pPr>
              <w:spacing w:before="40" w:after="120" w:line="259" w:lineRule="auto"/>
              <w:jc w:val="both"/>
              <w:rPr>
                <w:rFonts w:ascii="Arial" w:hAnsi="Arial" w:cs="Arial"/>
                <w:bCs/>
                <w:i/>
                <w:iCs/>
                <w:sz w:val="22"/>
                <w:szCs w:val="22"/>
              </w:rPr>
            </w:pPr>
            <w:r w:rsidRPr="00123D02">
              <w:rPr>
                <w:rFonts w:ascii="Arial" w:hAnsi="Arial" w:cs="Arial"/>
                <w:bCs/>
                <w:i/>
                <w:iCs/>
                <w:sz w:val="22"/>
                <w:szCs w:val="22"/>
              </w:rPr>
              <w:t>Paper</w:t>
            </w:r>
          </w:p>
          <w:p w14:paraId="3F7D1534" w14:textId="00A241D5" w:rsidR="00C8423A" w:rsidRPr="00B6590A" w:rsidRDefault="00B6590A" w:rsidP="00B6590A">
            <w:pPr>
              <w:spacing w:before="40" w:after="120" w:line="259" w:lineRule="auto"/>
              <w:jc w:val="both"/>
              <w:rPr>
                <w:rFonts w:ascii="Arial" w:hAnsi="Arial" w:cs="Arial"/>
                <w:sz w:val="22"/>
                <w:szCs w:val="22"/>
              </w:rPr>
            </w:pPr>
            <w:r w:rsidRPr="00B6590A">
              <w:rPr>
                <w:rFonts w:ascii="Arial" w:hAnsi="Arial" w:cs="Arial"/>
                <w:b/>
                <w:sz w:val="22"/>
                <w:szCs w:val="22"/>
              </w:rPr>
              <w:t xml:space="preserve">Advancing </w:t>
            </w:r>
            <w:proofErr w:type="spellStart"/>
            <w:r w:rsidRPr="00B6590A">
              <w:rPr>
                <w:rFonts w:ascii="Arial" w:hAnsi="Arial" w:cs="Arial"/>
                <w:b/>
                <w:sz w:val="22"/>
                <w:szCs w:val="22"/>
              </w:rPr>
              <w:t>tamariki</w:t>
            </w:r>
            <w:proofErr w:type="spellEnd"/>
            <w:r w:rsidRPr="00B6590A">
              <w:rPr>
                <w:rFonts w:ascii="Arial" w:hAnsi="Arial" w:cs="Arial"/>
                <w:b/>
                <w:sz w:val="22"/>
                <w:szCs w:val="22"/>
              </w:rPr>
              <w:t xml:space="preserve">/children and </w:t>
            </w:r>
            <w:proofErr w:type="spellStart"/>
            <w:r w:rsidRPr="00B6590A">
              <w:rPr>
                <w:rFonts w:ascii="Arial" w:hAnsi="Arial" w:cs="Arial"/>
                <w:b/>
                <w:sz w:val="22"/>
                <w:szCs w:val="22"/>
              </w:rPr>
              <w:t>rangatahi</w:t>
            </w:r>
            <w:proofErr w:type="spellEnd"/>
            <w:r w:rsidRPr="00B6590A">
              <w:rPr>
                <w:rFonts w:ascii="Arial" w:hAnsi="Arial" w:cs="Arial"/>
                <w:b/>
                <w:sz w:val="22"/>
                <w:szCs w:val="22"/>
              </w:rPr>
              <w:t>/young people’s rights in a changing climate: a critical exploration of climate assembly processes involving children</w:t>
            </w:r>
            <w:r w:rsidR="00AA7347">
              <w:rPr>
                <w:rFonts w:ascii="Arial" w:hAnsi="Arial" w:cs="Arial"/>
                <w:b/>
                <w:sz w:val="22"/>
                <w:szCs w:val="22"/>
              </w:rPr>
              <w:t xml:space="preserve"> </w:t>
            </w:r>
            <w:r w:rsidRPr="00B6590A">
              <w:rPr>
                <w:rFonts w:ascii="Arial" w:hAnsi="Arial" w:cs="Arial"/>
                <w:b/>
                <w:sz w:val="22"/>
                <w:szCs w:val="22"/>
              </w:rPr>
              <w:t>in Porirua, Aotearoa New Zealand</w:t>
            </w:r>
          </w:p>
        </w:tc>
      </w:tr>
      <w:tr w:rsidR="00C8423A" w:rsidRPr="00B6590A" w14:paraId="1A1C8C63" w14:textId="77777777" w:rsidTr="009F4EA0">
        <w:trPr>
          <w:trHeight w:val="3124"/>
        </w:trPr>
        <w:tc>
          <w:tcPr>
            <w:tcW w:w="8640" w:type="dxa"/>
          </w:tcPr>
          <w:p w14:paraId="5B83AD76" w14:textId="29B1267B" w:rsidR="00C8423A" w:rsidRPr="00B6590A" w:rsidRDefault="00C8423A" w:rsidP="00B6590A">
            <w:pPr>
              <w:spacing w:before="40" w:after="120" w:line="259" w:lineRule="auto"/>
              <w:jc w:val="both"/>
              <w:rPr>
                <w:rFonts w:ascii="Arial" w:hAnsi="Arial" w:cs="Arial"/>
                <w:bCs/>
                <w:sz w:val="22"/>
                <w:szCs w:val="22"/>
              </w:rPr>
            </w:pPr>
          </w:p>
          <w:p w14:paraId="131A5F05" w14:textId="77777777" w:rsidR="0065012F" w:rsidRPr="00B6590A" w:rsidRDefault="0065012F" w:rsidP="00B6590A">
            <w:pPr>
              <w:spacing w:before="40" w:after="120" w:line="259" w:lineRule="auto"/>
              <w:jc w:val="both"/>
              <w:rPr>
                <w:rFonts w:ascii="Arial" w:hAnsi="Arial" w:cs="Arial"/>
                <w:b/>
                <w:sz w:val="22"/>
                <w:szCs w:val="22"/>
              </w:rPr>
            </w:pPr>
            <w:r w:rsidRPr="00B6590A">
              <w:rPr>
                <w:rFonts w:ascii="Arial" w:hAnsi="Arial" w:cs="Arial"/>
                <w:b/>
                <w:sz w:val="22"/>
                <w:szCs w:val="22"/>
              </w:rPr>
              <w:t>Introduction</w:t>
            </w:r>
          </w:p>
          <w:p w14:paraId="4C7E9DEB" w14:textId="6A5785B4" w:rsidR="00B6590A" w:rsidRPr="00B6590A" w:rsidRDefault="00B6590A" w:rsidP="00B6590A">
            <w:pPr>
              <w:spacing w:before="40" w:after="120" w:line="259" w:lineRule="auto"/>
              <w:rPr>
                <w:rFonts w:ascii="Arial" w:hAnsi="Arial" w:cs="Arial"/>
                <w:sz w:val="22"/>
                <w:szCs w:val="22"/>
                <w:lang w:val="en-US"/>
              </w:rPr>
            </w:pPr>
            <w:r w:rsidRPr="00B6590A">
              <w:rPr>
                <w:rFonts w:ascii="Arial" w:hAnsi="Arial" w:cs="Arial"/>
                <w:sz w:val="22"/>
                <w:szCs w:val="22"/>
              </w:rPr>
              <w:t xml:space="preserve">Climate change is increasingly being recognised as a crisis for children’s rights, impacting particularly harshly on poor, Indigenous, migrant, disabled, and displaced children in ways that entrench existing inequities (IPCC, 2023). Of all affected groups, children and future generations are the populations who will live the longest with the impacts of climate change (Clark et al, 2020; </w:t>
            </w:r>
            <w:proofErr w:type="spellStart"/>
            <w:r w:rsidRPr="00B6590A">
              <w:rPr>
                <w:rFonts w:ascii="Arial" w:hAnsi="Arial" w:cs="Arial"/>
                <w:sz w:val="22"/>
                <w:szCs w:val="22"/>
              </w:rPr>
              <w:t>Kotzé</w:t>
            </w:r>
            <w:proofErr w:type="spellEnd"/>
            <w:r w:rsidRPr="00B6590A">
              <w:rPr>
                <w:rFonts w:ascii="Arial" w:hAnsi="Arial" w:cs="Arial"/>
                <w:sz w:val="22"/>
                <w:szCs w:val="22"/>
              </w:rPr>
              <w:t xml:space="preserve"> &amp; Knappe, 2023; Lancet, 2024). Yet to date, both have largely been excluded from climate change decision-making, including here in Aotearoa New Zealand.</w:t>
            </w:r>
          </w:p>
          <w:p w14:paraId="4806BFDB" w14:textId="5703C757" w:rsidR="0065012F" w:rsidRPr="00B6590A" w:rsidRDefault="00B6590A" w:rsidP="00B6590A">
            <w:pPr>
              <w:spacing w:before="40" w:after="120" w:line="259" w:lineRule="auto"/>
              <w:jc w:val="both"/>
              <w:rPr>
                <w:rFonts w:ascii="Arial" w:hAnsi="Arial" w:cs="Arial"/>
                <w:b/>
                <w:sz w:val="22"/>
                <w:szCs w:val="22"/>
              </w:rPr>
            </w:pPr>
            <w:r w:rsidRPr="00B6590A">
              <w:rPr>
                <w:rFonts w:ascii="Arial" w:hAnsi="Arial" w:cs="Arial"/>
                <w:sz w:val="22"/>
                <w:szCs w:val="22"/>
              </w:rPr>
              <w:t xml:space="preserve">Recent waves of climate protest and litigation have helped catalyse renewed interest in deliberative processes like climate assemblies as opportunities to engage young people’s voices. In this paper I outline research which evaluates the process and impact of </w:t>
            </w:r>
            <w:r w:rsidRPr="00B6590A">
              <w:rPr>
                <w:rFonts w:ascii="Arial" w:hAnsi="Arial" w:cs="Arial"/>
                <w:bCs/>
                <w:sz w:val="22"/>
                <w:szCs w:val="22"/>
              </w:rPr>
              <w:t>tamariki/children and rangatahi/young people’s engagement in a citizen assembly process in</w:t>
            </w:r>
            <w:r w:rsidRPr="00B6590A">
              <w:rPr>
                <w:rFonts w:ascii="Arial" w:hAnsi="Arial" w:cs="Arial"/>
                <w:sz w:val="22"/>
                <w:szCs w:val="22"/>
              </w:rPr>
              <w:t xml:space="preserve"> Porirua New Zealand.</w:t>
            </w:r>
          </w:p>
          <w:p w14:paraId="5DE13B32" w14:textId="77777777" w:rsidR="0065012F" w:rsidRPr="00B6590A" w:rsidRDefault="0065012F" w:rsidP="00B6590A">
            <w:pPr>
              <w:spacing w:before="40" w:after="120" w:line="259" w:lineRule="auto"/>
              <w:jc w:val="both"/>
              <w:rPr>
                <w:rFonts w:ascii="Arial" w:hAnsi="Arial" w:cs="Arial"/>
                <w:b/>
                <w:sz w:val="22"/>
                <w:szCs w:val="22"/>
              </w:rPr>
            </w:pPr>
            <w:r w:rsidRPr="00B6590A">
              <w:rPr>
                <w:rFonts w:ascii="Arial" w:hAnsi="Arial" w:cs="Arial"/>
                <w:b/>
                <w:sz w:val="22"/>
                <w:szCs w:val="22"/>
              </w:rPr>
              <w:t>Objectives</w:t>
            </w:r>
          </w:p>
          <w:p w14:paraId="7DF7D437" w14:textId="71068814" w:rsidR="0065012F" w:rsidRPr="00B6590A" w:rsidRDefault="00B6590A" w:rsidP="00B6590A">
            <w:pPr>
              <w:spacing w:before="40" w:after="120" w:line="259" w:lineRule="auto"/>
              <w:jc w:val="both"/>
              <w:rPr>
                <w:rFonts w:ascii="Arial" w:hAnsi="Arial" w:cs="Arial"/>
                <w:b/>
                <w:sz w:val="22"/>
                <w:szCs w:val="22"/>
              </w:rPr>
            </w:pPr>
            <w:r w:rsidRPr="00B6590A">
              <w:rPr>
                <w:rFonts w:ascii="Arial" w:hAnsi="Arial" w:cs="Arial"/>
                <w:sz w:val="22"/>
                <w:szCs w:val="22"/>
              </w:rPr>
              <w:t>This presentation discusses preliminary findings and themes emerging from my PhD research, which set out to explore in what ways and to what extent children’s involvement in deliberative processes like climate assemblies may advance children’s climate rights. To address this question, I undertook a critical exploration of the involvement of children and young people aged under 18 in a Tiriti-based community climate assembly in Porirua, Aotearoa New Zealand. Work on the Porirua Assembly on Climate began in 2021, and it was held over four Saturdays in February and March 2025.</w:t>
            </w:r>
          </w:p>
          <w:p w14:paraId="457D2D05" w14:textId="4552866C" w:rsidR="0065012F" w:rsidRPr="00B6590A" w:rsidRDefault="00906B39" w:rsidP="00B6590A">
            <w:pPr>
              <w:spacing w:before="40" w:after="120" w:line="259" w:lineRule="auto"/>
              <w:jc w:val="both"/>
              <w:rPr>
                <w:rFonts w:ascii="Arial" w:hAnsi="Arial" w:cs="Arial"/>
                <w:b/>
                <w:sz w:val="22"/>
                <w:szCs w:val="22"/>
              </w:rPr>
            </w:pPr>
            <w:r w:rsidRPr="00B6590A">
              <w:rPr>
                <w:rFonts w:ascii="Arial" w:hAnsi="Arial" w:cs="Arial"/>
                <w:b/>
                <w:sz w:val="22"/>
                <w:szCs w:val="22"/>
              </w:rPr>
              <w:t>Methodology</w:t>
            </w:r>
          </w:p>
          <w:p w14:paraId="788DBFDD" w14:textId="229F5EC7" w:rsidR="00B6590A" w:rsidRDefault="00B6590A" w:rsidP="00B6590A">
            <w:pPr>
              <w:spacing w:before="40" w:after="120" w:line="259" w:lineRule="auto"/>
              <w:jc w:val="both"/>
              <w:rPr>
                <w:rFonts w:ascii="Arial" w:hAnsi="Arial" w:cs="Arial"/>
                <w:b/>
                <w:sz w:val="22"/>
                <w:szCs w:val="22"/>
              </w:rPr>
            </w:pPr>
            <w:r w:rsidRPr="00B6590A">
              <w:rPr>
                <w:rFonts w:ascii="Arial" w:hAnsi="Arial" w:cs="Arial"/>
                <w:sz w:val="22"/>
                <w:szCs w:val="22"/>
              </w:rPr>
              <w:t>My research involved participant observation, interviews and focus group discussion to critically evaluate the opportunities and barriers to children’s participation in climate change decision-making through a citizen assembly process. Discussion considers the extent to which the Porirua Assembly might advance their climate rights. Using a qualitative interpretive approach, I undertook interviews with adult practitioners both here and overseas, as well as focus groups with children and young people involved in the Porirua Assembly.</w:t>
            </w:r>
          </w:p>
          <w:p w14:paraId="261EC656" w14:textId="7D09B5BB" w:rsidR="00C8423A" w:rsidRPr="00B6590A" w:rsidRDefault="0065012F" w:rsidP="00B6590A">
            <w:pPr>
              <w:spacing w:before="40" w:after="120" w:line="259" w:lineRule="auto"/>
              <w:jc w:val="both"/>
              <w:rPr>
                <w:rFonts w:ascii="Arial" w:hAnsi="Arial" w:cs="Arial"/>
                <w:b/>
                <w:sz w:val="22"/>
                <w:szCs w:val="22"/>
              </w:rPr>
            </w:pPr>
            <w:r w:rsidRPr="00B6590A">
              <w:rPr>
                <w:rFonts w:ascii="Arial" w:hAnsi="Arial" w:cs="Arial"/>
                <w:b/>
                <w:sz w:val="22"/>
                <w:szCs w:val="22"/>
              </w:rPr>
              <w:t xml:space="preserve">Significance of the work for policy and practice </w:t>
            </w:r>
          </w:p>
          <w:p w14:paraId="43CB2428" w14:textId="3E42D15D" w:rsidR="00BE58D6" w:rsidRPr="00B6590A" w:rsidRDefault="00B6590A" w:rsidP="00B6590A">
            <w:pPr>
              <w:spacing w:before="40" w:after="120" w:line="259" w:lineRule="auto"/>
              <w:jc w:val="both"/>
              <w:rPr>
                <w:rFonts w:ascii="Arial" w:hAnsi="Arial" w:cs="Arial"/>
                <w:i/>
                <w:iCs/>
                <w:sz w:val="22"/>
                <w:szCs w:val="22"/>
              </w:rPr>
            </w:pPr>
            <w:r w:rsidRPr="00B6590A">
              <w:rPr>
                <w:rFonts w:ascii="Arial" w:hAnsi="Arial" w:cs="Arial"/>
                <w:sz w:val="22"/>
                <w:szCs w:val="22"/>
              </w:rPr>
              <w:t>In 2024, the UN passed the Pact for the Future (UNGA, 2024). This paper responds to the challenge of the Pact in relation to children and young people – in particular, to protect and respect the human rights of all young people and foster their social inclusion, and to strengthen mean</w:t>
            </w:r>
            <w:r w:rsidRPr="00B6590A">
              <w:rPr>
                <w:rFonts w:ascii="Arial" w:hAnsi="Arial" w:cs="Arial"/>
                <w:sz w:val="22"/>
                <w:szCs w:val="22"/>
              </w:rPr>
              <w:softHyphen/>
              <w:t>ingful youth participation</w:t>
            </w:r>
            <w:r w:rsidRPr="00B6590A">
              <w:rPr>
                <w:rFonts w:ascii="Arial" w:hAnsi="Arial" w:cs="Arial"/>
                <w:i/>
                <w:iCs/>
                <w:sz w:val="22"/>
                <w:szCs w:val="22"/>
              </w:rPr>
              <w:t>.</w:t>
            </w:r>
          </w:p>
          <w:p w14:paraId="448A39EB" w14:textId="77777777" w:rsidR="00B6590A" w:rsidRPr="00B6590A" w:rsidRDefault="00B6590A" w:rsidP="00B6590A">
            <w:pPr>
              <w:spacing w:before="40" w:after="120" w:line="259" w:lineRule="auto"/>
              <w:jc w:val="both"/>
              <w:rPr>
                <w:rFonts w:ascii="Arial" w:hAnsi="Arial" w:cs="Arial"/>
                <w:i/>
                <w:iCs/>
                <w:sz w:val="22"/>
                <w:szCs w:val="22"/>
              </w:rPr>
            </w:pPr>
          </w:p>
          <w:p w14:paraId="02732E5F" w14:textId="17C695BB" w:rsidR="00B6590A" w:rsidRPr="00B6590A" w:rsidRDefault="00B6590A" w:rsidP="00B6590A">
            <w:pPr>
              <w:spacing w:before="40" w:after="120" w:line="259" w:lineRule="auto"/>
              <w:jc w:val="both"/>
              <w:rPr>
                <w:rFonts w:ascii="Arial" w:hAnsi="Arial" w:cs="Arial"/>
                <w:b/>
                <w:sz w:val="22"/>
                <w:szCs w:val="22"/>
              </w:rPr>
            </w:pPr>
            <w:r w:rsidRPr="00B6590A">
              <w:rPr>
                <w:rFonts w:ascii="Arial" w:hAnsi="Arial" w:cs="Arial"/>
                <w:sz w:val="22"/>
                <w:szCs w:val="22"/>
              </w:rPr>
              <w:t>My paper will assess, through my case study report, in what ways and to what extent citizen assemblies working with people under 18 might advance these objectives.</w:t>
            </w:r>
          </w:p>
          <w:p w14:paraId="1A078683" w14:textId="77777777" w:rsidR="00BE58D6" w:rsidRPr="00B6590A" w:rsidRDefault="00BE58D6" w:rsidP="00B6590A">
            <w:pPr>
              <w:spacing w:before="40" w:after="120" w:line="259" w:lineRule="auto"/>
              <w:jc w:val="both"/>
              <w:rPr>
                <w:rFonts w:ascii="Arial" w:hAnsi="Arial" w:cs="Arial"/>
                <w:b/>
                <w:sz w:val="22"/>
                <w:szCs w:val="22"/>
              </w:rPr>
            </w:pPr>
          </w:p>
          <w:p w14:paraId="76E22457" w14:textId="470346A5" w:rsidR="00B6590A" w:rsidRPr="00B6590A" w:rsidRDefault="00B6590A" w:rsidP="00B6590A">
            <w:pPr>
              <w:spacing w:before="40" w:after="120" w:line="259" w:lineRule="auto"/>
              <w:rPr>
                <w:rFonts w:ascii="Arial" w:hAnsi="Arial" w:cs="Arial"/>
                <w:b/>
                <w:bCs/>
                <w:sz w:val="22"/>
                <w:szCs w:val="22"/>
              </w:rPr>
            </w:pPr>
            <w:r w:rsidRPr="00B6590A">
              <w:rPr>
                <w:rFonts w:ascii="Arial" w:hAnsi="Arial" w:cs="Arial"/>
                <w:b/>
                <w:bCs/>
                <w:sz w:val="22"/>
                <w:szCs w:val="22"/>
              </w:rPr>
              <w:t>References</w:t>
            </w:r>
          </w:p>
          <w:p w14:paraId="4DEEF745" w14:textId="77777777" w:rsidR="00B6590A" w:rsidRDefault="00B6590A" w:rsidP="00B6590A">
            <w:pPr>
              <w:autoSpaceDE w:val="0"/>
              <w:autoSpaceDN w:val="0"/>
              <w:spacing w:before="40" w:after="120" w:line="259" w:lineRule="auto"/>
              <w:rPr>
                <w:rFonts w:ascii="Arial" w:hAnsi="Arial" w:cs="Arial"/>
                <w:sz w:val="22"/>
                <w:szCs w:val="22"/>
              </w:rPr>
            </w:pPr>
            <w:r w:rsidRPr="00B6590A">
              <w:rPr>
                <w:rFonts w:ascii="Arial" w:hAnsi="Arial" w:cs="Arial"/>
                <w:sz w:val="22"/>
                <w:szCs w:val="22"/>
              </w:rPr>
              <w:t xml:space="preserve">Clark, H., Coll-Seck, A. M., Banerjee, A., Peterson, S., Dalglish, S. L., Ameratunga, S., Balabanova, D., Bhan, M. K., Bhutta, Z. A., Borrazzo, J., Claeson, M., Doherty, T., El-Jardali, F., George, A. S., Gichaga, A., Gram, L., Hipgrave, D. B., Kwamie, A., Meng, Q., … Costello, A. (2020). A future for the world’s children? A WHO–UNICEF–Lancet Commission. </w:t>
            </w:r>
            <w:r w:rsidRPr="00B6590A">
              <w:rPr>
                <w:rFonts w:ascii="Arial" w:hAnsi="Arial" w:cs="Arial"/>
                <w:i/>
                <w:iCs/>
                <w:sz w:val="22"/>
                <w:szCs w:val="22"/>
              </w:rPr>
              <w:t>The Lancet</w:t>
            </w:r>
            <w:r w:rsidRPr="00B6590A">
              <w:rPr>
                <w:rFonts w:ascii="Arial" w:hAnsi="Arial" w:cs="Arial"/>
                <w:sz w:val="22"/>
                <w:szCs w:val="22"/>
              </w:rPr>
              <w:t xml:space="preserve">, </w:t>
            </w:r>
            <w:r w:rsidRPr="00B6590A">
              <w:rPr>
                <w:rFonts w:ascii="Arial" w:hAnsi="Arial" w:cs="Arial"/>
                <w:i/>
                <w:iCs/>
                <w:sz w:val="22"/>
                <w:szCs w:val="22"/>
              </w:rPr>
              <w:t>395</w:t>
            </w:r>
            <w:r w:rsidRPr="00B6590A">
              <w:rPr>
                <w:rFonts w:ascii="Arial" w:hAnsi="Arial" w:cs="Arial"/>
                <w:sz w:val="22"/>
                <w:szCs w:val="22"/>
              </w:rPr>
              <w:t xml:space="preserve">(10224), 605–658. </w:t>
            </w:r>
            <w:hyperlink r:id="rId8" w:history="1">
              <w:r w:rsidRPr="00B6590A">
                <w:rPr>
                  <w:rStyle w:val="Hyperlink"/>
                  <w:rFonts w:ascii="Arial" w:hAnsi="Arial" w:cs="Arial"/>
                  <w:sz w:val="22"/>
                  <w:szCs w:val="22"/>
                </w:rPr>
                <w:t>https://doi.org/10.1016/S0140-6736(19)32540-1</w:t>
              </w:r>
            </w:hyperlink>
          </w:p>
          <w:p w14:paraId="6F46AC47" w14:textId="77777777" w:rsidR="00B6590A" w:rsidRDefault="00B6590A" w:rsidP="00B6590A">
            <w:pPr>
              <w:autoSpaceDE w:val="0"/>
              <w:autoSpaceDN w:val="0"/>
              <w:spacing w:before="40" w:after="120" w:line="259" w:lineRule="auto"/>
              <w:rPr>
                <w:rFonts w:ascii="Arial" w:hAnsi="Arial" w:cs="Arial"/>
                <w:sz w:val="22"/>
                <w:szCs w:val="22"/>
              </w:rPr>
            </w:pPr>
            <w:r w:rsidRPr="00B6590A">
              <w:rPr>
                <w:rFonts w:ascii="Arial" w:hAnsi="Arial" w:cs="Arial"/>
                <w:sz w:val="22"/>
                <w:szCs w:val="22"/>
              </w:rPr>
              <w:t xml:space="preserve">IPCC. (2023). </w:t>
            </w:r>
            <w:r w:rsidRPr="00B6590A">
              <w:rPr>
                <w:rFonts w:ascii="Arial" w:hAnsi="Arial" w:cs="Arial"/>
                <w:i/>
                <w:iCs/>
                <w:sz w:val="22"/>
                <w:szCs w:val="22"/>
              </w:rPr>
              <w:t xml:space="preserve">IPCC sixth assessment report (AR6): </w:t>
            </w:r>
            <w:r w:rsidRPr="00B6590A">
              <w:rPr>
                <w:rFonts w:ascii="Arial" w:hAnsi="Arial" w:cs="Arial"/>
                <w:i/>
                <w:iCs/>
                <w:sz w:val="22"/>
                <w:szCs w:val="22"/>
                <w:lang w:val="en-US"/>
              </w:rPr>
              <w:t xml:space="preserve">FAQ3. </w:t>
            </w:r>
            <w:r w:rsidRPr="00B6590A">
              <w:rPr>
                <w:rFonts w:ascii="Arial" w:hAnsi="Arial" w:cs="Arial"/>
                <w:i/>
                <w:iCs/>
                <w:sz w:val="22"/>
                <w:szCs w:val="22"/>
              </w:rPr>
              <w:t>How will climate change affect the lives of today’s children tomorrow, if no immediate action is taken?</w:t>
            </w:r>
            <w:r w:rsidRPr="00B6590A">
              <w:rPr>
                <w:rFonts w:ascii="Arial" w:hAnsi="Arial" w:cs="Arial"/>
                <w:b/>
                <w:bCs/>
                <w:sz w:val="22"/>
                <w:szCs w:val="22"/>
              </w:rPr>
              <w:t xml:space="preserve"> </w:t>
            </w:r>
            <w:hyperlink r:id="rId9" w:history="1">
              <w:r w:rsidRPr="00B6590A">
                <w:rPr>
                  <w:rStyle w:val="Hyperlink"/>
                  <w:rFonts w:ascii="Arial" w:hAnsi="Arial" w:cs="Arial"/>
                  <w:sz w:val="22"/>
                  <w:szCs w:val="22"/>
                  <w:lang w:val="en-US"/>
                </w:rPr>
                <w:t>https://www.ipcc.ch/report/ar6/wg2/about/frequently-asked-questions/keyfaq3/</w:t>
              </w:r>
            </w:hyperlink>
          </w:p>
          <w:p w14:paraId="3DD8E94A" w14:textId="77777777" w:rsidR="00B6590A" w:rsidRDefault="00B6590A" w:rsidP="00B6590A">
            <w:pPr>
              <w:autoSpaceDE w:val="0"/>
              <w:autoSpaceDN w:val="0"/>
              <w:spacing w:before="40" w:after="120" w:line="259" w:lineRule="auto"/>
              <w:rPr>
                <w:rFonts w:ascii="Arial" w:hAnsi="Arial" w:cs="Arial"/>
                <w:sz w:val="22"/>
                <w:szCs w:val="22"/>
              </w:rPr>
            </w:pPr>
            <w:proofErr w:type="spellStart"/>
            <w:r w:rsidRPr="00B6590A">
              <w:rPr>
                <w:rFonts w:ascii="Arial" w:hAnsi="Arial" w:cs="Arial"/>
                <w:sz w:val="22"/>
                <w:szCs w:val="22"/>
              </w:rPr>
              <w:t>Kotzé</w:t>
            </w:r>
            <w:proofErr w:type="spellEnd"/>
            <w:r w:rsidRPr="00B6590A">
              <w:rPr>
                <w:rFonts w:ascii="Arial" w:hAnsi="Arial" w:cs="Arial"/>
                <w:sz w:val="22"/>
                <w:szCs w:val="22"/>
              </w:rPr>
              <w:t xml:space="preserve">, L.J., and Knappe, H. (2023). Youth movements, intergenerational justice, and climate litigation in the deep time context of the Anthropocene. </w:t>
            </w:r>
            <w:r w:rsidRPr="00B6590A">
              <w:rPr>
                <w:rFonts w:ascii="Arial" w:hAnsi="Arial" w:cs="Arial"/>
                <w:i/>
                <w:iCs/>
                <w:sz w:val="22"/>
                <w:szCs w:val="22"/>
              </w:rPr>
              <w:t>Environmental Research Communications, 5, 025001, 1-11.</w:t>
            </w:r>
            <w:r w:rsidRPr="00B6590A">
              <w:rPr>
                <w:rFonts w:ascii="Arial" w:hAnsi="Arial" w:cs="Arial"/>
                <w:sz w:val="22"/>
                <w:szCs w:val="22"/>
              </w:rPr>
              <w:t xml:space="preserve"> </w:t>
            </w:r>
            <w:hyperlink r:id="rId10" w:history="1">
              <w:r w:rsidRPr="00B6590A">
                <w:rPr>
                  <w:rStyle w:val="Hyperlink"/>
                  <w:rFonts w:ascii="Arial" w:hAnsi="Arial" w:cs="Arial"/>
                  <w:sz w:val="22"/>
                  <w:szCs w:val="22"/>
                </w:rPr>
                <w:t>https://doi.org/10.1088/2515-7620/acaa21</w:t>
              </w:r>
            </w:hyperlink>
            <w:r w:rsidRPr="00B6590A">
              <w:rPr>
                <w:rFonts w:ascii="Arial" w:hAnsi="Arial" w:cs="Arial"/>
                <w:sz w:val="22"/>
                <w:szCs w:val="22"/>
              </w:rPr>
              <w:t xml:space="preserve"> </w:t>
            </w:r>
          </w:p>
          <w:p w14:paraId="74B13E18" w14:textId="77777777" w:rsidR="00B6590A" w:rsidRDefault="00B6590A" w:rsidP="00B6590A">
            <w:pPr>
              <w:autoSpaceDE w:val="0"/>
              <w:autoSpaceDN w:val="0"/>
              <w:spacing w:before="40" w:after="120" w:line="259" w:lineRule="auto"/>
              <w:rPr>
                <w:rFonts w:ascii="Arial" w:hAnsi="Arial" w:cs="Arial"/>
                <w:sz w:val="22"/>
                <w:szCs w:val="22"/>
              </w:rPr>
            </w:pPr>
            <w:r w:rsidRPr="00B6590A">
              <w:rPr>
                <w:rFonts w:ascii="Arial" w:hAnsi="Arial" w:cs="Arial"/>
                <w:sz w:val="22"/>
                <w:szCs w:val="22"/>
                <w:lang w:val="en-US"/>
              </w:rPr>
              <w:t xml:space="preserve">Lancet. (2024). Editorial: </w:t>
            </w:r>
            <w:r w:rsidRPr="00B6590A">
              <w:rPr>
                <w:rFonts w:ascii="Arial" w:hAnsi="Arial" w:cs="Arial"/>
                <w:sz w:val="22"/>
                <w:szCs w:val="22"/>
              </w:rPr>
              <w:t>Child-centred climate action cannot wait.</w:t>
            </w:r>
            <w:r w:rsidRPr="00B6590A">
              <w:rPr>
                <w:rFonts w:ascii="Arial" w:hAnsi="Arial" w:cs="Arial"/>
                <w:b/>
                <w:bCs/>
                <w:sz w:val="22"/>
                <w:szCs w:val="22"/>
              </w:rPr>
              <w:t xml:space="preserve"> </w:t>
            </w:r>
            <w:r w:rsidRPr="00B6590A">
              <w:rPr>
                <w:rFonts w:ascii="Arial" w:hAnsi="Arial" w:cs="Arial"/>
                <w:i/>
                <w:iCs/>
                <w:sz w:val="22"/>
                <w:szCs w:val="22"/>
              </w:rPr>
              <w:t>The Lancet Child &amp; Adolescent Health, 8 (July),</w:t>
            </w:r>
            <w:r w:rsidRPr="00B6590A">
              <w:rPr>
                <w:rFonts w:ascii="Arial" w:hAnsi="Arial" w:cs="Arial"/>
                <w:sz w:val="22"/>
                <w:szCs w:val="22"/>
              </w:rPr>
              <w:t xml:space="preserve"> 467.</w:t>
            </w:r>
            <w:r w:rsidRPr="00B6590A">
              <w:rPr>
                <w:rFonts w:ascii="Arial" w:hAnsi="Arial" w:cs="Arial"/>
                <w:i/>
                <w:iCs/>
                <w:sz w:val="22"/>
                <w:szCs w:val="22"/>
              </w:rPr>
              <w:t xml:space="preserve"> </w:t>
            </w:r>
            <w:hyperlink r:id="rId11" w:history="1">
              <w:r w:rsidRPr="00B6590A">
                <w:rPr>
                  <w:rStyle w:val="Hyperlink"/>
                  <w:rFonts w:ascii="Arial" w:hAnsi="Arial" w:cs="Arial"/>
                  <w:sz w:val="22"/>
                  <w:szCs w:val="22"/>
                  <w:lang w:val="en-US"/>
                </w:rPr>
                <w:t>https://www.thelancet.com/action/showPdf?pii=S2352-4642%2824%2900135-4</w:t>
              </w:r>
            </w:hyperlink>
          </w:p>
          <w:p w14:paraId="286431BD" w14:textId="0A9AEE36" w:rsidR="00B6590A" w:rsidRPr="00B6590A" w:rsidRDefault="00B6590A" w:rsidP="00B6590A">
            <w:pPr>
              <w:autoSpaceDE w:val="0"/>
              <w:autoSpaceDN w:val="0"/>
              <w:spacing w:before="40" w:after="120" w:line="259" w:lineRule="auto"/>
              <w:rPr>
                <w:rFonts w:ascii="Arial" w:hAnsi="Arial" w:cs="Arial"/>
                <w:sz w:val="22"/>
                <w:szCs w:val="22"/>
              </w:rPr>
            </w:pPr>
            <w:r w:rsidRPr="00B6590A">
              <w:rPr>
                <w:rFonts w:ascii="Arial" w:hAnsi="Arial" w:cs="Arial"/>
                <w:sz w:val="22"/>
                <w:szCs w:val="22"/>
              </w:rPr>
              <w:t xml:space="preserve">UNGA. (2024). Summit of the Future outcome documents </w:t>
            </w:r>
            <w:r w:rsidRPr="00516D74">
              <w:rPr>
                <w:rFonts w:ascii="Arial" w:hAnsi="Arial" w:cs="Arial"/>
                <w:sz w:val="22"/>
                <w:szCs w:val="22"/>
              </w:rPr>
              <w:t>September 2024</w:t>
            </w:r>
            <w:r w:rsidRPr="00B6590A">
              <w:rPr>
                <w:rFonts w:ascii="Arial" w:hAnsi="Arial" w:cs="Arial"/>
                <w:sz w:val="22"/>
                <w:szCs w:val="22"/>
              </w:rPr>
              <w:t xml:space="preserve">: </w:t>
            </w:r>
            <w:r w:rsidRPr="00516D74">
              <w:rPr>
                <w:rFonts w:ascii="Arial" w:hAnsi="Arial" w:cs="Arial"/>
                <w:sz w:val="22"/>
                <w:szCs w:val="22"/>
              </w:rPr>
              <w:t xml:space="preserve">Pact for the Future, Global Digital Compact </w:t>
            </w:r>
            <w:r w:rsidRPr="00B6590A">
              <w:rPr>
                <w:rFonts w:ascii="Arial" w:hAnsi="Arial" w:cs="Arial"/>
                <w:sz w:val="22"/>
                <w:szCs w:val="22"/>
              </w:rPr>
              <w:t xml:space="preserve">and Declaration on Future Generations. </w:t>
            </w:r>
            <w:hyperlink r:id="rId12" w:history="1">
              <w:r w:rsidRPr="00B6590A">
                <w:rPr>
                  <w:rStyle w:val="Hyperlink"/>
                  <w:rFonts w:ascii="Arial" w:hAnsi="Arial" w:cs="Arial"/>
                  <w:sz w:val="22"/>
                  <w:szCs w:val="22"/>
                </w:rPr>
                <w:t>https://www.un.org/en/summit-of-the-future/pact-for-the-future</w:t>
              </w:r>
            </w:hyperlink>
            <w:r w:rsidRPr="00B6590A">
              <w:rPr>
                <w:rFonts w:ascii="Arial" w:hAnsi="Arial" w:cs="Arial"/>
                <w:sz w:val="22"/>
                <w:szCs w:val="22"/>
              </w:rPr>
              <w:t xml:space="preserve"> </w:t>
            </w:r>
          </w:p>
          <w:p w14:paraId="2CBAECD6" w14:textId="729DADBB" w:rsidR="009F4EA0" w:rsidRPr="00B6590A" w:rsidRDefault="009F4EA0" w:rsidP="00B6590A">
            <w:pPr>
              <w:spacing w:before="40" w:after="120" w:line="259" w:lineRule="auto"/>
              <w:jc w:val="both"/>
              <w:rPr>
                <w:rFonts w:ascii="Arial" w:hAnsi="Arial" w:cs="Arial"/>
                <w:b/>
                <w:sz w:val="22"/>
                <w:szCs w:val="22"/>
              </w:rPr>
            </w:pPr>
          </w:p>
        </w:tc>
      </w:tr>
    </w:tbl>
    <w:p w14:paraId="14FC3BE1" w14:textId="1ED2D544" w:rsidR="00C8423A" w:rsidRPr="00B6590A" w:rsidRDefault="00C8423A" w:rsidP="00B6590A">
      <w:pPr>
        <w:tabs>
          <w:tab w:val="left" w:pos="8931"/>
        </w:tabs>
        <w:spacing w:before="40" w:after="120" w:line="259" w:lineRule="auto"/>
        <w:rPr>
          <w:rFonts w:ascii="Arial" w:hAnsi="Arial" w:cs="Arial"/>
          <w:sz w:val="22"/>
          <w:szCs w:val="22"/>
        </w:rPr>
      </w:pPr>
    </w:p>
    <w:p w14:paraId="15AC9FEF" w14:textId="15B67474" w:rsidR="009010B0" w:rsidRPr="00B6590A" w:rsidRDefault="009010B0" w:rsidP="00B6590A">
      <w:pPr>
        <w:spacing w:before="40" w:after="120" w:line="259" w:lineRule="auto"/>
        <w:rPr>
          <w:rFonts w:ascii="Arial" w:hAnsi="Arial" w:cs="Arial"/>
          <w:sz w:val="22"/>
          <w:szCs w:val="22"/>
        </w:rPr>
      </w:pPr>
    </w:p>
    <w:sectPr w:rsidR="009010B0" w:rsidRPr="00B6590A"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23D02"/>
    <w:rsid w:val="00132AE5"/>
    <w:rsid w:val="00155315"/>
    <w:rsid w:val="001B1274"/>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33958"/>
    <w:rsid w:val="00963443"/>
    <w:rsid w:val="009C374A"/>
    <w:rsid w:val="009F4EA0"/>
    <w:rsid w:val="00AA7347"/>
    <w:rsid w:val="00B026E8"/>
    <w:rsid w:val="00B503E5"/>
    <w:rsid w:val="00B6590A"/>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B659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19)32540-1"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org/en/summit-of-the-future/pact-for-the-futu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lancet.com/action/showPdf?pii=S2352-4642%2824%2900135-4" TargetMode="External"/><Relationship Id="rId5" Type="http://schemas.openxmlformats.org/officeDocument/2006/relationships/styles" Target="styles.xml"/><Relationship Id="rId10" Type="http://schemas.openxmlformats.org/officeDocument/2006/relationships/hyperlink" Target="https://doi.org/10.1088/2515-7620/acaa21" TargetMode="External"/><Relationship Id="rId4" Type="http://schemas.openxmlformats.org/officeDocument/2006/relationships/numbering" Target="numbering.xml"/><Relationship Id="rId9" Type="http://schemas.openxmlformats.org/officeDocument/2006/relationships/hyperlink" Target="https://www.ipcc.ch/report/ar6/wg2/about/frequently-asked-questions/keyfaq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62C57D-83C6-4C99-8334-BC4481038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9c8a2b7b-0bee-4c48-b0a6-23db8982d3bc"/>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cab52c9b-ab33-4221-8af9-54f8f2b86a80"/>
    <ds:schemaRef ds:uri="6911e96c-4cc4-42d5-8e43-f93924cf6a05"/>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675</Words>
  <Characters>3849</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2024-09-16T20:56:00Z</dcterms:created>
  <dcterms:modified xsi:type="dcterms:W3CDTF">2025-08-14T00:54:00Z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