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B0838" w:rsidRPr="009E29FA" w14:paraId="4C8F055D" w14:textId="77777777" w:rsidTr="00393413">
        <w:trPr>
          <w:jc w:val="center"/>
        </w:trPr>
        <w:tc>
          <w:tcPr>
            <w:tcW w:w="0" w:type="auto"/>
            <w:shd w:val="clear" w:color="auto" w:fill="auto"/>
          </w:tcPr>
          <w:p w14:paraId="1AF88EE7" w14:textId="77777777" w:rsidR="000B0838" w:rsidRPr="009E29FA" w:rsidRDefault="000B0838" w:rsidP="0054118B">
            <w:pPr>
              <w:spacing w:before="120" w:after="120"/>
              <w:rPr>
                <w:rFonts w:ascii="Arial" w:hAnsi="Arial" w:cs="Arial"/>
                <w:b/>
                <w:sz w:val="22"/>
                <w:szCs w:val="22"/>
                <w:lang w:eastAsia="en-GB"/>
              </w:rPr>
            </w:pPr>
            <w:r w:rsidRPr="009E29FA">
              <w:rPr>
                <w:rFonts w:ascii="Arial" w:hAnsi="Arial" w:cs="Arial"/>
                <w:b/>
                <w:sz w:val="22"/>
                <w:szCs w:val="22"/>
                <w:lang w:val="en-AU" w:eastAsia="en-GB"/>
              </w:rPr>
              <w:t xml:space="preserve">Specialist Palliative Care </w:t>
            </w:r>
            <w:r w:rsidR="00723ABC">
              <w:rPr>
                <w:rFonts w:ascii="Arial" w:hAnsi="Arial" w:cs="Arial"/>
                <w:b/>
                <w:sz w:val="22"/>
                <w:szCs w:val="22"/>
                <w:lang w:val="en-AU" w:eastAsia="en-GB"/>
              </w:rPr>
              <w:t>for Rural Chronic Disease: Physician Survey</w:t>
            </w:r>
            <w:r w:rsidRPr="009E29FA">
              <w:rPr>
                <w:rFonts w:ascii="Arial" w:hAnsi="Arial" w:cs="Arial"/>
                <w:b/>
                <w:sz w:val="22"/>
                <w:szCs w:val="22"/>
                <w:lang w:val="en-AU" w:eastAsia="en-GB"/>
              </w:rPr>
              <w:t xml:space="preserve"> </w:t>
            </w:r>
          </w:p>
        </w:tc>
      </w:tr>
      <w:tr w:rsidR="000B0838" w:rsidRPr="009E29FA" w14:paraId="5E3E4070" w14:textId="77777777" w:rsidTr="00393413">
        <w:trPr>
          <w:trHeight w:val="480"/>
          <w:jc w:val="center"/>
        </w:trPr>
        <w:tc>
          <w:tcPr>
            <w:tcW w:w="0" w:type="auto"/>
            <w:shd w:val="clear" w:color="auto" w:fill="auto"/>
          </w:tcPr>
          <w:p w14:paraId="25CDABA3" w14:textId="77777777" w:rsidR="000B0838" w:rsidRPr="009E29FA" w:rsidRDefault="000B0838" w:rsidP="0054118B">
            <w:pPr>
              <w:spacing w:before="120" w:after="120"/>
              <w:rPr>
                <w:rFonts w:ascii="Arial" w:hAnsi="Arial" w:cs="Arial"/>
                <w:sz w:val="22"/>
                <w:szCs w:val="22"/>
                <w:lang w:val="en-AU" w:eastAsia="en-GB"/>
              </w:rPr>
            </w:pPr>
            <w:r w:rsidRPr="009E29FA">
              <w:rPr>
                <w:rFonts w:ascii="Arial" w:hAnsi="Arial" w:cs="Arial"/>
                <w:sz w:val="22"/>
                <w:szCs w:val="22"/>
                <w:lang w:val="en-US" w:eastAsia="en-GB"/>
              </w:rPr>
              <w:t>Rebecca Disler</w:t>
            </w:r>
            <w:r w:rsidRPr="009E29FA">
              <w:rPr>
                <w:rFonts w:ascii="Arial" w:hAnsi="Arial" w:cs="Arial"/>
                <w:sz w:val="22"/>
                <w:szCs w:val="22"/>
                <w:vertAlign w:val="superscript"/>
                <w:lang w:val="en-US" w:eastAsia="en-GB"/>
              </w:rPr>
              <w:t>1</w:t>
            </w:r>
            <w:bookmarkStart w:id="0" w:name="Text8"/>
            <w:r w:rsidR="00DE6199" w:rsidRPr="009E29FA">
              <w:rPr>
                <w:rFonts w:ascii="Arial" w:hAnsi="Arial" w:cs="Arial"/>
                <w:sz w:val="22"/>
                <w:szCs w:val="22"/>
                <w:vertAlign w:val="superscript"/>
                <w:lang w:val="en-US" w:eastAsia="en-GB"/>
              </w:rPr>
              <w:t>,2</w:t>
            </w:r>
            <w:r w:rsidRPr="009E29FA">
              <w:rPr>
                <w:rFonts w:ascii="Arial" w:hAnsi="Arial" w:cs="Arial"/>
                <w:sz w:val="22"/>
                <w:szCs w:val="22"/>
                <w:lang w:val="en-US" w:eastAsia="en-GB"/>
              </w:rPr>
              <w:t>,</w:t>
            </w:r>
            <w:bookmarkEnd w:id="0"/>
            <w:r w:rsidR="00DE6199" w:rsidRPr="009E29FA">
              <w:rPr>
                <w:rFonts w:ascii="Arial" w:hAnsi="Arial" w:cs="Arial"/>
                <w:sz w:val="22"/>
                <w:szCs w:val="22"/>
                <w:lang w:val="en-AU" w:eastAsia="en-GB"/>
              </w:rPr>
              <w:t xml:space="preserve"> Lena Ly</w:t>
            </w:r>
            <w:r w:rsidR="00DE6199" w:rsidRPr="009E29FA">
              <w:rPr>
                <w:rFonts w:ascii="Arial" w:hAnsi="Arial" w:cs="Arial"/>
                <w:sz w:val="22"/>
                <w:szCs w:val="22"/>
                <w:vertAlign w:val="superscript"/>
                <w:lang w:val="en-US" w:eastAsia="en-GB"/>
              </w:rPr>
              <w:t>1,2</w:t>
            </w:r>
            <w:r w:rsidR="00DE6199" w:rsidRPr="009E29FA">
              <w:rPr>
                <w:rFonts w:ascii="Arial" w:hAnsi="Arial" w:cs="Arial"/>
                <w:sz w:val="22"/>
                <w:szCs w:val="22"/>
                <w:lang w:val="en-AU" w:eastAsia="en-GB"/>
              </w:rPr>
              <w:t>, Julian Wright</w:t>
            </w:r>
            <w:r w:rsidR="00DE6199" w:rsidRPr="009E29FA">
              <w:rPr>
                <w:rFonts w:ascii="Arial" w:hAnsi="Arial" w:cs="Arial"/>
                <w:sz w:val="22"/>
                <w:szCs w:val="22"/>
                <w:vertAlign w:val="superscript"/>
                <w:lang w:val="en-US" w:eastAsia="en-GB"/>
              </w:rPr>
              <w:t>1</w:t>
            </w:r>
            <w:r w:rsidR="00DE6199" w:rsidRPr="009E29FA">
              <w:rPr>
                <w:rFonts w:ascii="Arial" w:hAnsi="Arial" w:cs="Arial"/>
                <w:sz w:val="22"/>
                <w:szCs w:val="22"/>
                <w:lang w:val="en-AU" w:eastAsia="en-GB"/>
              </w:rPr>
              <w:t>, Helen Hickson</w:t>
            </w:r>
            <w:r w:rsidR="00DE6199" w:rsidRPr="009E29FA">
              <w:rPr>
                <w:rFonts w:ascii="Arial" w:hAnsi="Arial" w:cs="Arial"/>
                <w:sz w:val="22"/>
                <w:szCs w:val="22"/>
                <w:vertAlign w:val="superscript"/>
                <w:lang w:val="en-US" w:eastAsia="en-GB"/>
              </w:rPr>
              <w:t>2</w:t>
            </w:r>
            <w:r w:rsidR="00DE6199" w:rsidRPr="009E29FA">
              <w:rPr>
                <w:rFonts w:ascii="Arial" w:hAnsi="Arial" w:cs="Arial"/>
                <w:sz w:val="22"/>
                <w:szCs w:val="22"/>
                <w:lang w:val="en-AU" w:eastAsia="en-GB"/>
              </w:rPr>
              <w:t>, Sivakumar Subramaniam</w:t>
            </w:r>
            <w:r w:rsidR="00DE6199" w:rsidRPr="009E29FA">
              <w:rPr>
                <w:rFonts w:ascii="Arial" w:hAnsi="Arial" w:cs="Arial"/>
                <w:sz w:val="22"/>
                <w:szCs w:val="22"/>
                <w:vertAlign w:val="superscript"/>
                <w:lang w:val="en-US" w:eastAsia="en-GB"/>
              </w:rPr>
              <w:t>3</w:t>
            </w:r>
            <w:r w:rsidR="00DE6199" w:rsidRPr="009E29FA">
              <w:rPr>
                <w:rFonts w:ascii="Arial" w:hAnsi="Arial" w:cs="Arial"/>
                <w:sz w:val="22"/>
                <w:szCs w:val="22"/>
                <w:lang w:val="en-AU" w:eastAsia="en-GB"/>
              </w:rPr>
              <w:t>, Kristen Glenister</w:t>
            </w:r>
            <w:r w:rsidR="00DE6199" w:rsidRPr="009E29FA">
              <w:rPr>
                <w:rFonts w:ascii="Arial" w:hAnsi="Arial" w:cs="Arial"/>
                <w:sz w:val="22"/>
                <w:szCs w:val="22"/>
                <w:vertAlign w:val="superscript"/>
                <w:lang w:val="en-US" w:eastAsia="en-GB"/>
              </w:rPr>
              <w:t>1</w:t>
            </w:r>
            <w:r w:rsidR="00CE27DA" w:rsidRPr="009E29FA">
              <w:rPr>
                <w:rFonts w:ascii="Arial" w:hAnsi="Arial" w:cs="Arial"/>
                <w:sz w:val="22"/>
                <w:szCs w:val="22"/>
                <w:lang w:val="en-AU" w:eastAsia="en-GB"/>
              </w:rPr>
              <w:t>, Doranne Donesky</w:t>
            </w:r>
            <w:r w:rsidR="00CE27DA" w:rsidRPr="00CE27DA">
              <w:rPr>
                <w:rFonts w:ascii="Arial" w:hAnsi="Arial" w:cs="Arial"/>
                <w:sz w:val="22"/>
                <w:szCs w:val="22"/>
                <w:vertAlign w:val="superscript"/>
                <w:lang w:val="en-AU" w:eastAsia="en-GB"/>
              </w:rPr>
              <w:t>4</w:t>
            </w:r>
            <w:r w:rsidR="00CE27DA">
              <w:rPr>
                <w:rFonts w:ascii="Arial" w:hAnsi="Arial" w:cs="Arial"/>
                <w:sz w:val="22"/>
                <w:szCs w:val="22"/>
                <w:lang w:val="en-AU" w:eastAsia="en-GB"/>
              </w:rPr>
              <w:t>, J</w:t>
            </w:r>
            <w:r w:rsidR="00DE6199" w:rsidRPr="009E29FA">
              <w:rPr>
                <w:rFonts w:ascii="Arial" w:hAnsi="Arial" w:cs="Arial"/>
                <w:sz w:val="22"/>
                <w:szCs w:val="22"/>
                <w:lang w:val="en-AU" w:eastAsia="en-GB"/>
              </w:rPr>
              <w:t>ennifer Philip</w:t>
            </w:r>
            <w:r w:rsidR="00DE6199" w:rsidRPr="009E29FA">
              <w:rPr>
                <w:rFonts w:ascii="Arial" w:hAnsi="Arial" w:cs="Arial"/>
                <w:sz w:val="22"/>
                <w:szCs w:val="22"/>
                <w:vertAlign w:val="superscript"/>
                <w:lang w:val="en-US" w:eastAsia="en-GB"/>
              </w:rPr>
              <w:t>1</w:t>
            </w:r>
            <w:r w:rsidR="00DE6199" w:rsidRPr="009E29FA">
              <w:rPr>
                <w:rFonts w:ascii="Arial" w:hAnsi="Arial" w:cs="Arial"/>
                <w:sz w:val="22"/>
                <w:szCs w:val="22"/>
                <w:lang w:val="en-AU" w:eastAsia="en-GB"/>
              </w:rPr>
              <w:t>, Natasha Smallwood</w:t>
            </w:r>
            <w:r w:rsidR="00DE6199" w:rsidRPr="009E29FA">
              <w:rPr>
                <w:rFonts w:ascii="Arial" w:hAnsi="Arial" w:cs="Arial"/>
                <w:sz w:val="22"/>
                <w:szCs w:val="22"/>
                <w:vertAlign w:val="superscript"/>
                <w:lang w:val="en-US" w:eastAsia="en-GB"/>
              </w:rPr>
              <w:t>2,</w:t>
            </w:r>
            <w:r w:rsidR="00CE27DA">
              <w:rPr>
                <w:rFonts w:ascii="Arial" w:hAnsi="Arial" w:cs="Arial"/>
                <w:sz w:val="22"/>
                <w:szCs w:val="22"/>
                <w:vertAlign w:val="superscript"/>
                <w:lang w:val="en-US" w:eastAsia="en-GB"/>
              </w:rPr>
              <w:t>5.</w:t>
            </w:r>
          </w:p>
        </w:tc>
      </w:tr>
      <w:tr w:rsidR="000B0838" w:rsidRPr="009E29FA" w14:paraId="6ACFC727" w14:textId="77777777" w:rsidTr="00393413">
        <w:trPr>
          <w:trHeight w:val="136"/>
          <w:jc w:val="center"/>
        </w:trPr>
        <w:tc>
          <w:tcPr>
            <w:tcW w:w="0" w:type="auto"/>
            <w:shd w:val="clear" w:color="auto" w:fill="auto"/>
          </w:tcPr>
          <w:p w14:paraId="153AF9AF" w14:textId="77777777" w:rsidR="000B0838" w:rsidRPr="009E29FA" w:rsidRDefault="000B0838" w:rsidP="0054118B">
            <w:pPr>
              <w:spacing w:before="120" w:after="120"/>
              <w:rPr>
                <w:rFonts w:ascii="Arial" w:hAnsi="Arial" w:cs="Arial"/>
                <w:i/>
                <w:iCs/>
                <w:color w:val="000000"/>
                <w:sz w:val="22"/>
                <w:szCs w:val="22"/>
                <w:lang w:val="en-US"/>
              </w:rPr>
            </w:pPr>
            <w:r w:rsidRPr="009E29FA">
              <w:rPr>
                <w:rFonts w:ascii="Arial" w:hAnsi="Arial" w:cs="Arial"/>
                <w:i/>
                <w:sz w:val="22"/>
                <w:szCs w:val="22"/>
                <w:vertAlign w:val="superscript"/>
                <w:lang w:val="en-US" w:eastAsia="en-GB"/>
              </w:rPr>
              <w:t>1</w:t>
            </w:r>
            <w:r w:rsidR="00DE6199" w:rsidRPr="009E29FA">
              <w:rPr>
                <w:rFonts w:ascii="Arial" w:hAnsi="Arial" w:cs="Arial"/>
                <w:i/>
                <w:iCs/>
                <w:color w:val="000000"/>
                <w:sz w:val="22"/>
                <w:szCs w:val="22"/>
                <w:lang w:val="en-US"/>
              </w:rPr>
              <w:t xml:space="preserve">University of Melbourne, Melbourne, Victoria, Australia. </w:t>
            </w:r>
          </w:p>
          <w:p w14:paraId="12895EC2" w14:textId="77777777" w:rsidR="000B0838" w:rsidRPr="009E29FA" w:rsidRDefault="000B0838" w:rsidP="0054118B">
            <w:pPr>
              <w:spacing w:before="120" w:after="120"/>
              <w:rPr>
                <w:rFonts w:ascii="Arial" w:hAnsi="Arial" w:cs="Arial"/>
                <w:i/>
                <w:sz w:val="22"/>
                <w:szCs w:val="22"/>
                <w:lang w:val="en-US" w:eastAsia="en-GB"/>
              </w:rPr>
            </w:pPr>
            <w:r w:rsidRPr="009E29FA">
              <w:rPr>
                <w:rFonts w:ascii="Arial" w:hAnsi="Arial" w:cs="Arial"/>
                <w:i/>
                <w:sz w:val="22"/>
                <w:szCs w:val="22"/>
                <w:vertAlign w:val="superscript"/>
                <w:lang w:val="en-US" w:eastAsia="en-GB"/>
              </w:rPr>
              <w:t>2</w:t>
            </w:r>
            <w:r w:rsidR="00DE6199" w:rsidRPr="009E29FA">
              <w:rPr>
                <w:rFonts w:ascii="Arial" w:hAnsi="Arial" w:cs="Arial"/>
                <w:i/>
                <w:iCs/>
                <w:color w:val="000000"/>
                <w:sz w:val="22"/>
                <w:szCs w:val="22"/>
                <w:lang w:val="en-US"/>
              </w:rPr>
              <w:t>Central Clinical School, Monash University, Melbourne, Victoria, Australia.</w:t>
            </w:r>
          </w:p>
          <w:p w14:paraId="3B04E416" w14:textId="77777777" w:rsidR="000B0838" w:rsidRPr="009E29FA" w:rsidRDefault="000B0838" w:rsidP="0054118B">
            <w:pPr>
              <w:spacing w:before="120" w:after="120"/>
              <w:rPr>
                <w:rFonts w:ascii="Arial" w:hAnsi="Arial" w:cs="Arial"/>
                <w:i/>
                <w:sz w:val="22"/>
                <w:szCs w:val="22"/>
                <w:lang w:val="en-US" w:eastAsia="en-GB"/>
              </w:rPr>
            </w:pPr>
            <w:r w:rsidRPr="009E29FA">
              <w:rPr>
                <w:rFonts w:ascii="Arial" w:hAnsi="Arial" w:cs="Arial"/>
                <w:i/>
                <w:sz w:val="22"/>
                <w:szCs w:val="22"/>
                <w:vertAlign w:val="superscript"/>
                <w:lang w:val="en-US" w:eastAsia="en-GB"/>
              </w:rPr>
              <w:t>3</w:t>
            </w:r>
            <w:r w:rsidR="00DE6199" w:rsidRPr="009E29FA">
              <w:rPr>
                <w:rFonts w:ascii="Arial" w:hAnsi="Arial" w:cs="Arial"/>
                <w:i/>
                <w:sz w:val="22"/>
                <w:szCs w:val="22"/>
                <w:lang w:val="en-AU" w:eastAsia="en-GB"/>
              </w:rPr>
              <w:t>Goulburn Valley Health, Shepparton, Victoria, Australia.</w:t>
            </w:r>
          </w:p>
          <w:p w14:paraId="45AEEEE4" w14:textId="77777777" w:rsidR="00CE27DA" w:rsidRDefault="00CE27DA" w:rsidP="0054118B">
            <w:pPr>
              <w:spacing w:before="120" w:after="120"/>
              <w:rPr>
                <w:rFonts w:ascii="Arial" w:hAnsi="Arial" w:cs="Arial"/>
                <w:i/>
                <w:iCs/>
                <w:color w:val="000000"/>
                <w:sz w:val="22"/>
                <w:szCs w:val="22"/>
                <w:lang w:val="en-US"/>
              </w:rPr>
            </w:pPr>
            <w:r>
              <w:rPr>
                <w:rFonts w:ascii="Arial" w:hAnsi="Arial" w:cs="Arial"/>
                <w:i/>
                <w:sz w:val="22"/>
                <w:szCs w:val="22"/>
                <w:vertAlign w:val="superscript"/>
                <w:lang w:val="en-US" w:eastAsia="en-GB"/>
              </w:rPr>
              <w:t>4</w:t>
            </w:r>
            <w:r w:rsidRPr="009E29FA">
              <w:rPr>
                <w:rFonts w:ascii="Arial" w:hAnsi="Arial" w:cs="Arial"/>
                <w:i/>
                <w:iCs/>
                <w:color w:val="000000"/>
                <w:sz w:val="22"/>
                <w:szCs w:val="22"/>
                <w:lang w:val="en-US"/>
              </w:rPr>
              <w:t xml:space="preserve">University of California, San Francisco, The United States of America. </w:t>
            </w:r>
          </w:p>
          <w:p w14:paraId="630F84EE" w14:textId="77777777" w:rsidR="000B0838" w:rsidRPr="009E29FA" w:rsidRDefault="00CE27DA" w:rsidP="0054118B">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5</w:t>
            </w:r>
            <w:r w:rsidR="00DE6199" w:rsidRPr="009E29FA">
              <w:rPr>
                <w:rFonts w:ascii="Arial" w:hAnsi="Arial" w:cs="Arial"/>
                <w:i/>
                <w:iCs/>
                <w:color w:val="000000"/>
                <w:sz w:val="22"/>
                <w:szCs w:val="22"/>
                <w:lang w:val="en-US"/>
              </w:rPr>
              <w:t>The Alfred Hospital, Prahran, Melbourne, Victoria, Australia.</w:t>
            </w:r>
          </w:p>
          <w:p w14:paraId="656B9213" w14:textId="77777777" w:rsidR="000B0838" w:rsidRPr="009E29FA" w:rsidRDefault="000B0838" w:rsidP="0054118B">
            <w:pPr>
              <w:spacing w:before="120" w:after="120"/>
              <w:rPr>
                <w:rFonts w:ascii="Arial" w:hAnsi="Arial" w:cs="Arial"/>
                <w:i/>
                <w:sz w:val="22"/>
                <w:szCs w:val="22"/>
                <w:lang w:val="en-US" w:eastAsia="en-GB"/>
              </w:rPr>
            </w:pPr>
          </w:p>
        </w:tc>
      </w:tr>
      <w:tr w:rsidR="000B0838" w:rsidRPr="009E29FA" w14:paraId="5A11C88A" w14:textId="77777777" w:rsidTr="009E29FA">
        <w:trPr>
          <w:trHeight w:hRule="exact" w:val="10091"/>
          <w:jc w:val="center"/>
        </w:trPr>
        <w:tc>
          <w:tcPr>
            <w:tcW w:w="0" w:type="auto"/>
            <w:shd w:val="clear" w:color="auto" w:fill="auto"/>
          </w:tcPr>
          <w:p w14:paraId="401824B8" w14:textId="77777777" w:rsidR="00CE27DA" w:rsidRDefault="00CE27DA" w:rsidP="00CE27DA">
            <w:pPr>
              <w:pStyle w:val="Pa12"/>
              <w:rPr>
                <w:rStyle w:val="A4"/>
                <w:b/>
                <w:bCs/>
              </w:rPr>
            </w:pPr>
            <w:r>
              <w:rPr>
                <w:rStyle w:val="A4"/>
                <w:b/>
                <w:bCs/>
              </w:rPr>
              <w:t xml:space="preserve">Introduction/Aim: </w:t>
            </w:r>
          </w:p>
          <w:p w14:paraId="794582ED" w14:textId="77777777" w:rsidR="00CE27DA" w:rsidRDefault="00CE27DA" w:rsidP="00CE27DA">
            <w:pPr>
              <w:pStyle w:val="Default"/>
              <w:rPr>
                <w:rStyle w:val="A4"/>
                <w:lang w:val="en-GB"/>
              </w:rPr>
            </w:pPr>
            <w:r>
              <w:rPr>
                <w:sz w:val="22"/>
                <w:szCs w:val="22"/>
              </w:rPr>
              <w:t xml:space="preserve">1 in 3 Australian deaths are due to cardiopulmonary disease, with higher prevalence in rural and First Nation populations. </w:t>
            </w:r>
            <w:r>
              <w:rPr>
                <w:sz w:val="22"/>
                <w:szCs w:val="22"/>
                <w:lang w:val="en-AU"/>
              </w:rPr>
              <w:t xml:space="preserve">Research exploring palliative care professional’s experience of non-malignant chronic disease in rural areas is scarce. </w:t>
            </w:r>
            <w:r>
              <w:rPr>
                <w:sz w:val="22"/>
                <w:szCs w:val="22"/>
                <w:lang w:val="en-GB"/>
              </w:rPr>
              <w:t xml:space="preserve">This study aimed to identify barriers and enablers to palliative care by exploring specialist physician experience and training in care for non-malignant chronic disease, in metropolitan and rural Australia. </w:t>
            </w:r>
          </w:p>
          <w:p w14:paraId="7ABCC75D" w14:textId="77777777" w:rsidR="00CE27DA" w:rsidRDefault="00CE27DA" w:rsidP="00CE27DA">
            <w:pPr>
              <w:pStyle w:val="Pa12"/>
              <w:rPr>
                <w:rStyle w:val="A4"/>
                <w:b/>
                <w:bCs/>
              </w:rPr>
            </w:pPr>
            <w:r>
              <w:rPr>
                <w:rStyle w:val="A4"/>
                <w:b/>
                <w:bCs/>
              </w:rPr>
              <w:t xml:space="preserve">Methods: </w:t>
            </w:r>
          </w:p>
          <w:p w14:paraId="373931FF" w14:textId="77777777" w:rsidR="00CE27DA" w:rsidRDefault="00CE27DA" w:rsidP="00CE27DA">
            <w:pPr>
              <w:pStyle w:val="Pa12"/>
              <w:rPr>
                <w:rStyle w:val="A4"/>
              </w:rPr>
            </w:pPr>
            <w:r>
              <w:rPr>
                <w:rStyle w:val="A4"/>
              </w:rPr>
              <w:t>Cross-sectional online survey, distributed to specialist palliative care physicians through ANZ Society of Palliative Medicine. Survey captured participant demographics, service characteristics and training in chronic disease, through: 1</w:t>
            </w:r>
            <w:r w:rsidR="00C60168">
              <w:rPr>
                <w:rStyle w:val="A4"/>
              </w:rPr>
              <w:t>3</w:t>
            </w:r>
            <w:r>
              <w:rPr>
                <w:rStyle w:val="A4"/>
              </w:rPr>
              <w:t xml:space="preserve"> nominal, 1 short-response, and 4 free-text questions. Five follow-up interviews triangulated survey findings and explored </w:t>
            </w:r>
            <w:r w:rsidR="00C60168">
              <w:rPr>
                <w:rStyle w:val="A4"/>
              </w:rPr>
              <w:t>challenges</w:t>
            </w:r>
            <w:r>
              <w:rPr>
                <w:rStyle w:val="A4"/>
              </w:rPr>
              <w:t xml:space="preserve"> in end-of-life care for rural chronic disease. Quantitative data were described, with interviews analysed using thematic analysis.</w:t>
            </w:r>
          </w:p>
          <w:p w14:paraId="283FDD2E" w14:textId="77777777" w:rsidR="00CE27DA" w:rsidRDefault="00CE27DA" w:rsidP="00CE27DA">
            <w:pPr>
              <w:pStyle w:val="Pa12"/>
              <w:rPr>
                <w:rStyle w:val="A4"/>
                <w:b/>
                <w:bCs/>
              </w:rPr>
            </w:pPr>
            <w:r>
              <w:rPr>
                <w:rStyle w:val="A4"/>
                <w:b/>
                <w:bCs/>
              </w:rPr>
              <w:t xml:space="preserve">Results: </w:t>
            </w:r>
          </w:p>
          <w:p w14:paraId="3514E383" w14:textId="77777777" w:rsidR="00CE27DA" w:rsidRPr="00785AA9" w:rsidRDefault="00CE27DA" w:rsidP="00CE27DA">
            <w:pPr>
              <w:pStyle w:val="Default"/>
              <w:rPr>
                <w:rFonts w:eastAsiaTheme="minorHAnsi"/>
                <w:sz w:val="22"/>
                <w:szCs w:val="22"/>
                <w:lang w:val="en-GB"/>
              </w:rPr>
            </w:pPr>
            <w:r>
              <w:rPr>
                <w:color w:val="161719"/>
                <w:sz w:val="22"/>
                <w:szCs w:val="22"/>
                <w:shd w:val="clear" w:color="auto" w:fill="FFFFFF"/>
              </w:rPr>
              <w:t>Of 47 participants, most were female (70.2% n=33) and had &gt;10yrs experience (78.7%, n=37). Two thirds worked in metropolitan areas (63.8% n=30)</w:t>
            </w:r>
            <w:r w:rsidR="00785AA9">
              <w:rPr>
                <w:color w:val="161719"/>
                <w:sz w:val="22"/>
                <w:szCs w:val="22"/>
                <w:shd w:val="clear" w:color="auto" w:fill="FFFFFF"/>
              </w:rPr>
              <w:t>. M</w:t>
            </w:r>
            <w:r>
              <w:rPr>
                <w:color w:val="161719"/>
                <w:sz w:val="22"/>
                <w:szCs w:val="22"/>
                <w:shd w:val="clear" w:color="auto" w:fill="FFFFFF"/>
              </w:rPr>
              <w:t xml:space="preserve">ost engaged in adult palliative care (80.9%, n=38), this </w:t>
            </w:r>
            <w:r w:rsidR="00785AA9">
              <w:rPr>
                <w:color w:val="161719"/>
                <w:sz w:val="22"/>
                <w:szCs w:val="22"/>
                <w:shd w:val="clear" w:color="auto" w:fill="FFFFFF"/>
              </w:rPr>
              <w:t xml:space="preserve">higher </w:t>
            </w:r>
            <w:r>
              <w:rPr>
                <w:color w:val="161719"/>
                <w:sz w:val="22"/>
                <w:szCs w:val="22"/>
                <w:shd w:val="clear" w:color="auto" w:fill="FFFFFF"/>
              </w:rPr>
              <w:t>in metropolitan areas (</w:t>
            </w:r>
            <w:r>
              <w:rPr>
                <w:rFonts w:eastAsiaTheme="minorHAnsi"/>
                <w:sz w:val="22"/>
                <w:szCs w:val="22"/>
              </w:rPr>
              <w:t>90.0%, n=27), and half (53%, n=</w:t>
            </w:r>
            <w:r>
              <w:rPr>
                <w:color w:val="161719"/>
                <w:sz w:val="22"/>
                <w:szCs w:val="22"/>
                <w:shd w:val="clear" w:color="auto" w:fill="FFFFFF"/>
              </w:rPr>
              <w:t xml:space="preserve">25) worked across acute, community and hospice services. </w:t>
            </w:r>
            <w:r>
              <w:rPr>
                <w:rFonts w:eastAsiaTheme="minorHAnsi"/>
                <w:sz w:val="22"/>
                <w:szCs w:val="22"/>
                <w:lang w:val="en-GB"/>
              </w:rPr>
              <w:t>Training across conditions varied, with stronger emphasis on advanced chronic disease (heart, lung and kidney) (ranging 78.7-83.0%), compared to age-related decline (55.3%). Metropolitan physicians were more likely to be trained in chronic disease (83.3% n=25</w:t>
            </w:r>
            <w:r w:rsidR="00785AA9">
              <w:rPr>
                <w:rFonts w:eastAsiaTheme="minorHAnsi"/>
                <w:sz w:val="22"/>
                <w:szCs w:val="22"/>
                <w:lang w:val="en-GB"/>
              </w:rPr>
              <w:t xml:space="preserve"> v 68.8% n=11</w:t>
            </w:r>
            <w:r>
              <w:rPr>
                <w:rFonts w:eastAsiaTheme="minorHAnsi"/>
                <w:sz w:val="22"/>
                <w:szCs w:val="22"/>
                <w:lang w:val="en-GB"/>
              </w:rPr>
              <w:t>), while rural physicians more likely in symptom management for age-related concerns (62.5</w:t>
            </w:r>
            <w:proofErr w:type="gramStart"/>
            <w:r>
              <w:rPr>
                <w:rFonts w:eastAsiaTheme="minorHAnsi"/>
                <w:sz w:val="22"/>
                <w:szCs w:val="22"/>
                <w:lang w:val="en-GB"/>
              </w:rPr>
              <w:t>%</w:t>
            </w:r>
            <w:r w:rsidR="00C60168">
              <w:rPr>
                <w:rFonts w:eastAsiaTheme="minorHAnsi"/>
                <w:sz w:val="22"/>
                <w:szCs w:val="22"/>
                <w:lang w:val="en-GB"/>
              </w:rPr>
              <w:t>,</w:t>
            </w:r>
            <w:r>
              <w:rPr>
                <w:rFonts w:eastAsiaTheme="minorHAnsi"/>
                <w:sz w:val="22"/>
                <w:szCs w:val="22"/>
                <w:lang w:val="en-GB"/>
              </w:rPr>
              <w:t>n</w:t>
            </w:r>
            <w:proofErr w:type="gramEnd"/>
            <w:r>
              <w:rPr>
                <w:rFonts w:eastAsiaTheme="minorHAnsi"/>
                <w:sz w:val="22"/>
                <w:szCs w:val="22"/>
                <w:lang w:val="en-GB"/>
              </w:rPr>
              <w:t>=10</w:t>
            </w:r>
            <w:r w:rsidR="00785AA9">
              <w:rPr>
                <w:rFonts w:eastAsiaTheme="minorHAnsi"/>
                <w:sz w:val="22"/>
                <w:szCs w:val="22"/>
                <w:lang w:val="en-GB"/>
              </w:rPr>
              <w:t xml:space="preserve"> v 53.3%</w:t>
            </w:r>
            <w:r w:rsidR="00C60168">
              <w:rPr>
                <w:rFonts w:eastAsiaTheme="minorHAnsi"/>
                <w:sz w:val="22"/>
                <w:szCs w:val="22"/>
                <w:lang w:val="en-GB"/>
              </w:rPr>
              <w:t>,</w:t>
            </w:r>
            <w:r w:rsidR="00785AA9">
              <w:rPr>
                <w:rFonts w:eastAsiaTheme="minorHAnsi"/>
                <w:sz w:val="22"/>
                <w:szCs w:val="22"/>
                <w:lang w:val="en-GB"/>
              </w:rPr>
              <w:t>n=16</w:t>
            </w:r>
            <w:r>
              <w:rPr>
                <w:rFonts w:eastAsiaTheme="minorHAnsi"/>
                <w:sz w:val="22"/>
                <w:szCs w:val="22"/>
                <w:lang w:val="en-GB"/>
              </w:rPr>
              <w:t xml:space="preserve">). </w:t>
            </w:r>
            <w:r>
              <w:rPr>
                <w:color w:val="161719"/>
                <w:sz w:val="22"/>
                <w:szCs w:val="22"/>
                <w:shd w:val="clear" w:color="auto" w:fill="FFFFFF"/>
                <w:lang w:val="en-AU"/>
              </w:rPr>
              <w:t xml:space="preserve">Three themes </w:t>
            </w:r>
            <w:r w:rsidR="00785AA9">
              <w:rPr>
                <w:color w:val="161719"/>
                <w:sz w:val="22"/>
                <w:szCs w:val="22"/>
                <w:shd w:val="clear" w:color="auto" w:fill="FFFFFF"/>
                <w:lang w:val="en-AU"/>
              </w:rPr>
              <w:t xml:space="preserve">regarding rural chronic disease </w:t>
            </w:r>
            <w:r>
              <w:rPr>
                <w:color w:val="161719"/>
                <w:sz w:val="22"/>
                <w:szCs w:val="22"/>
                <w:shd w:val="clear" w:color="auto" w:fill="FFFFFF"/>
                <w:lang w:val="en-AU"/>
              </w:rPr>
              <w:t xml:space="preserve">emerged from 5 interviews: </w:t>
            </w:r>
            <w:r>
              <w:rPr>
                <w:color w:val="161719"/>
                <w:sz w:val="22"/>
                <w:szCs w:val="22"/>
                <w:shd w:val="clear" w:color="auto" w:fill="FFFFFF"/>
                <w:lang w:val="en-GB"/>
              </w:rPr>
              <w:t xml:space="preserve">1) </w:t>
            </w:r>
            <w:r>
              <w:rPr>
                <w:color w:val="161719"/>
                <w:sz w:val="22"/>
                <w:szCs w:val="22"/>
                <w:shd w:val="clear" w:color="auto" w:fill="FFFFFF"/>
                <w:lang w:val="en-AU"/>
              </w:rPr>
              <w:t xml:space="preserve">absence of agreed policies and specialised pathways within palliative care; </w:t>
            </w:r>
            <w:r>
              <w:rPr>
                <w:color w:val="161719"/>
                <w:sz w:val="22"/>
                <w:szCs w:val="22"/>
                <w:shd w:val="clear" w:color="auto" w:fill="FFFFFF"/>
                <w:lang w:val="en-GB"/>
              </w:rPr>
              <w:t xml:space="preserve">2) concerns due to unpredictable </w:t>
            </w:r>
            <w:r>
              <w:rPr>
                <w:color w:val="161719"/>
                <w:sz w:val="22"/>
                <w:szCs w:val="22"/>
                <w:shd w:val="clear" w:color="auto" w:fill="FFFFFF"/>
              </w:rPr>
              <w:t>disease trajectories; and 3) patient misconceptions about palliative care</w:t>
            </w:r>
            <w:r>
              <w:rPr>
                <w:color w:val="161719"/>
                <w:sz w:val="22"/>
                <w:szCs w:val="22"/>
                <w:shd w:val="clear" w:color="auto" w:fill="FFFFFF"/>
                <w:lang w:val="en-GB"/>
              </w:rPr>
              <w:t>.</w:t>
            </w:r>
          </w:p>
          <w:p w14:paraId="7D68DC19" w14:textId="77777777" w:rsidR="00CE27DA" w:rsidRDefault="00CE27DA" w:rsidP="00CE27DA">
            <w:pPr>
              <w:pStyle w:val="Pa12"/>
              <w:rPr>
                <w:rStyle w:val="A4"/>
                <w:b/>
                <w:bCs/>
              </w:rPr>
            </w:pPr>
            <w:r>
              <w:rPr>
                <w:rStyle w:val="A4"/>
                <w:b/>
                <w:bCs/>
              </w:rPr>
              <w:t xml:space="preserve">Conclusion: </w:t>
            </w:r>
          </w:p>
          <w:p w14:paraId="3AD09E2C" w14:textId="77777777" w:rsidR="00CE27DA" w:rsidRDefault="00CE27DA" w:rsidP="00CE27DA">
            <w:pPr>
              <w:rPr>
                <w:rStyle w:val="A4"/>
                <w:rFonts w:ascii="Arial" w:hAnsi="Arial" w:cs="Arial"/>
                <w:color w:val="auto"/>
              </w:rPr>
            </w:pPr>
            <w:r>
              <w:rPr>
                <w:rFonts w:ascii="Arial" w:hAnsi="Arial" w:cs="Arial"/>
                <w:sz w:val="22"/>
                <w:szCs w:val="22"/>
              </w:rPr>
              <w:t>While issues of access to palliative care in chronic disease are universal, challenges are more profound in rural areas due to workforce constraints and lack of viable alternatives. Future research should address chronic disease</w:t>
            </w:r>
            <w:r w:rsidR="00785AA9">
              <w:rPr>
                <w:rFonts w:ascii="Arial" w:hAnsi="Arial" w:cs="Arial"/>
                <w:sz w:val="22"/>
                <w:szCs w:val="22"/>
              </w:rPr>
              <w:t xml:space="preserve"> palliative care</w:t>
            </w:r>
            <w:r>
              <w:rPr>
                <w:rFonts w:ascii="Arial" w:hAnsi="Arial" w:cs="Arial"/>
                <w:sz w:val="22"/>
                <w:szCs w:val="22"/>
              </w:rPr>
              <w:t xml:space="preserve"> referral pathways </w:t>
            </w:r>
            <w:r w:rsidR="00785AA9">
              <w:rPr>
                <w:rFonts w:ascii="Arial" w:hAnsi="Arial" w:cs="Arial"/>
                <w:sz w:val="22"/>
                <w:szCs w:val="22"/>
              </w:rPr>
              <w:t>and</w:t>
            </w:r>
            <w:r>
              <w:rPr>
                <w:rFonts w:ascii="Arial" w:hAnsi="Arial" w:cs="Arial"/>
                <w:sz w:val="22"/>
                <w:szCs w:val="22"/>
              </w:rPr>
              <w:t xml:space="preserve"> workforce training.</w:t>
            </w:r>
          </w:p>
          <w:p w14:paraId="7050D7D2" w14:textId="77777777" w:rsidR="000B0838" w:rsidRPr="009E29FA" w:rsidRDefault="000B0838" w:rsidP="0054118B">
            <w:pPr>
              <w:pStyle w:val="Default"/>
              <w:rPr>
                <w:rStyle w:val="A4"/>
                <w:bCs/>
              </w:rPr>
            </w:pPr>
          </w:p>
          <w:p w14:paraId="68748B52" w14:textId="77777777" w:rsidR="000B0838" w:rsidRPr="009E29FA" w:rsidRDefault="000B0838" w:rsidP="0054118B">
            <w:pPr>
              <w:pStyle w:val="Default"/>
              <w:rPr>
                <w:sz w:val="22"/>
                <w:szCs w:val="22"/>
                <w:lang w:val="en-US" w:eastAsia="en-GB"/>
              </w:rPr>
            </w:pP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r w:rsidRPr="009E29FA">
              <w:rPr>
                <w:sz w:val="22"/>
                <w:szCs w:val="22"/>
                <w:lang w:val="en-US" w:eastAsia="en-GB"/>
              </w:rPr>
              <w:br/>
            </w:r>
          </w:p>
        </w:tc>
      </w:tr>
      <w:tr w:rsidR="000B0838" w:rsidRPr="009E29FA" w14:paraId="7B7DD3A5" w14:textId="77777777" w:rsidTr="00393413">
        <w:trPr>
          <w:trHeight w:hRule="exact" w:val="5935"/>
          <w:jc w:val="center"/>
        </w:trPr>
        <w:tc>
          <w:tcPr>
            <w:tcW w:w="0" w:type="auto"/>
            <w:shd w:val="clear" w:color="auto" w:fill="auto"/>
          </w:tcPr>
          <w:p w14:paraId="77474AB8" w14:textId="77777777" w:rsidR="000B0838" w:rsidRPr="009E29FA" w:rsidRDefault="000B0838" w:rsidP="0054118B">
            <w:pPr>
              <w:pStyle w:val="Pa12"/>
              <w:rPr>
                <w:rStyle w:val="A4"/>
                <w:b/>
                <w:bCs/>
              </w:rPr>
            </w:pPr>
            <w:r w:rsidRPr="009E29FA">
              <w:rPr>
                <w:rStyle w:val="A4"/>
                <w:b/>
                <w:bCs/>
              </w:rPr>
              <w:lastRenderedPageBreak/>
              <w:t xml:space="preserve">Grant Support: </w:t>
            </w:r>
          </w:p>
          <w:p w14:paraId="050A66F7" w14:textId="77777777" w:rsidR="000B0838" w:rsidRPr="009E29FA" w:rsidRDefault="000B0838" w:rsidP="000B0838">
            <w:pPr>
              <w:pStyle w:val="Default"/>
              <w:rPr>
                <w:sz w:val="22"/>
                <w:szCs w:val="22"/>
              </w:rPr>
            </w:pPr>
            <w:r w:rsidRPr="009E29FA">
              <w:rPr>
                <w:sz w:val="22"/>
                <w:szCs w:val="22"/>
              </w:rPr>
              <w:t xml:space="preserve">Associate Professor Disler is the recipient of an Australian Research Council Australian Discovery Early Career Award Fellowship (DE200100343) funded by the Australian Government. </w:t>
            </w:r>
          </w:p>
          <w:p w14:paraId="7B1CB76B" w14:textId="77777777" w:rsidR="000B0838" w:rsidRPr="009E29FA" w:rsidRDefault="000B0838" w:rsidP="0054118B">
            <w:pPr>
              <w:pStyle w:val="Pa12"/>
              <w:rPr>
                <w:sz w:val="22"/>
                <w:szCs w:val="22"/>
              </w:rPr>
            </w:pPr>
          </w:p>
          <w:p w14:paraId="17B56BB9" w14:textId="77777777" w:rsidR="000B0838" w:rsidRPr="009E29FA" w:rsidRDefault="000B0838" w:rsidP="0054118B">
            <w:pPr>
              <w:rPr>
                <w:rFonts w:ascii="Arial" w:hAnsi="Arial" w:cs="Arial"/>
                <w:b/>
                <w:bCs/>
                <w:sz w:val="22"/>
                <w:szCs w:val="22"/>
              </w:rPr>
            </w:pPr>
            <w:r w:rsidRPr="009E29FA">
              <w:rPr>
                <w:rFonts w:ascii="Arial" w:hAnsi="Arial" w:cs="Arial"/>
                <w:b/>
                <w:bCs/>
                <w:sz w:val="22"/>
                <w:szCs w:val="22"/>
              </w:rPr>
              <w:t>Key words:</w:t>
            </w:r>
          </w:p>
          <w:p w14:paraId="25F2689B" w14:textId="77777777" w:rsidR="000B0838" w:rsidRPr="009E29FA" w:rsidRDefault="00723729" w:rsidP="0054118B">
            <w:pPr>
              <w:rPr>
                <w:rFonts w:ascii="Arial" w:hAnsi="Arial" w:cs="Arial"/>
                <w:sz w:val="22"/>
                <w:szCs w:val="22"/>
                <w:lang w:val="en-AU"/>
              </w:rPr>
            </w:pPr>
            <w:r w:rsidRPr="009E29FA">
              <w:rPr>
                <w:rFonts w:ascii="Arial" w:hAnsi="Arial" w:cs="Arial"/>
                <w:sz w:val="22"/>
                <w:szCs w:val="22"/>
              </w:rPr>
              <w:t>Palliative care;</w:t>
            </w:r>
            <w:r w:rsidR="00E20B89" w:rsidRPr="009E29FA">
              <w:rPr>
                <w:rFonts w:ascii="Arial" w:hAnsi="Arial" w:cs="Arial"/>
                <w:sz w:val="22"/>
                <w:szCs w:val="22"/>
              </w:rPr>
              <w:t xml:space="preserve"> Rural health; Chronic Disease; Survey; I</w:t>
            </w:r>
            <w:r w:rsidRPr="009E29FA">
              <w:rPr>
                <w:rFonts w:ascii="Arial" w:hAnsi="Arial" w:cs="Arial"/>
                <w:sz w:val="22"/>
                <w:szCs w:val="22"/>
              </w:rPr>
              <w:t>nterview</w:t>
            </w:r>
          </w:p>
          <w:p w14:paraId="5FA3D853" w14:textId="77777777" w:rsidR="000B0838" w:rsidRPr="009E29FA" w:rsidRDefault="000B0838" w:rsidP="0054118B">
            <w:pPr>
              <w:rPr>
                <w:rFonts w:ascii="Arial" w:hAnsi="Arial" w:cs="Arial"/>
                <w:sz w:val="22"/>
                <w:szCs w:val="22"/>
                <w:lang w:val="en-AU"/>
              </w:rPr>
            </w:pPr>
          </w:p>
          <w:p w14:paraId="2BAED613" w14:textId="77777777" w:rsidR="000B0838" w:rsidRPr="009E29FA" w:rsidRDefault="000B0838" w:rsidP="0054118B">
            <w:pPr>
              <w:rPr>
                <w:rFonts w:ascii="Arial" w:hAnsi="Arial" w:cs="Arial"/>
                <w:b/>
                <w:bCs/>
                <w:sz w:val="22"/>
                <w:szCs w:val="22"/>
              </w:rPr>
            </w:pPr>
            <w:r w:rsidRPr="009E29FA">
              <w:rPr>
                <w:rFonts w:ascii="Arial" w:hAnsi="Arial" w:cs="Arial"/>
                <w:b/>
                <w:bCs/>
                <w:sz w:val="22"/>
                <w:szCs w:val="22"/>
              </w:rPr>
              <w:t>Word count:</w:t>
            </w:r>
          </w:p>
          <w:p w14:paraId="6D575C49" w14:textId="0B3AEF01" w:rsidR="000B0838" w:rsidRPr="009E29FA" w:rsidRDefault="000177D6" w:rsidP="0054118B">
            <w:pPr>
              <w:rPr>
                <w:rFonts w:ascii="Arial" w:hAnsi="Arial" w:cs="Arial"/>
                <w:sz w:val="22"/>
                <w:szCs w:val="22"/>
                <w:lang w:val="en-AU"/>
              </w:rPr>
            </w:pPr>
            <w:r>
              <w:rPr>
                <w:rFonts w:ascii="Arial" w:hAnsi="Arial" w:cs="Arial"/>
                <w:sz w:val="22"/>
                <w:szCs w:val="22"/>
                <w:lang w:val="en-AU"/>
              </w:rPr>
              <w:t xml:space="preserve">300 </w:t>
            </w:r>
            <w:r w:rsidR="000B0838" w:rsidRPr="009E29FA">
              <w:rPr>
                <w:rFonts w:ascii="Arial" w:hAnsi="Arial" w:cs="Arial"/>
                <w:sz w:val="22"/>
                <w:szCs w:val="22"/>
                <w:lang w:val="en-AU"/>
              </w:rPr>
              <w:t>words</w:t>
            </w:r>
          </w:p>
          <w:p w14:paraId="4B7C3E00" w14:textId="77777777" w:rsidR="000B0838" w:rsidRPr="009E29FA" w:rsidRDefault="000B0838" w:rsidP="0054118B">
            <w:pPr>
              <w:rPr>
                <w:rFonts w:ascii="Arial" w:hAnsi="Arial" w:cs="Arial"/>
                <w:sz w:val="22"/>
                <w:szCs w:val="22"/>
              </w:rPr>
            </w:pPr>
          </w:p>
          <w:p w14:paraId="193237D4" w14:textId="6FD6492D" w:rsidR="000B0838" w:rsidRPr="000177D6" w:rsidRDefault="000B0838" w:rsidP="000177D6">
            <w:pPr>
              <w:rPr>
                <w:rStyle w:val="A4"/>
                <w:rFonts w:ascii="Arial" w:hAnsi="Arial" w:cs="Arial"/>
                <w:color w:val="auto"/>
              </w:rPr>
            </w:pPr>
            <w:r w:rsidRPr="009E29FA">
              <w:rPr>
                <w:rFonts w:ascii="Arial" w:hAnsi="Arial" w:cs="Arial"/>
                <w:b/>
                <w:bCs/>
                <w:sz w:val="22"/>
                <w:szCs w:val="22"/>
              </w:rPr>
              <w:t xml:space="preserve">Competing interests: </w:t>
            </w:r>
            <w:r w:rsidR="000177D6">
              <w:rPr>
                <w:rFonts w:ascii="Arial" w:hAnsi="Arial" w:cs="Arial"/>
                <w:sz w:val="22"/>
                <w:szCs w:val="22"/>
              </w:rPr>
              <w:t>Nil</w:t>
            </w:r>
          </w:p>
          <w:p w14:paraId="369489F9" w14:textId="77777777" w:rsidR="000B0838" w:rsidRPr="009E29FA" w:rsidRDefault="000B0838" w:rsidP="0054118B">
            <w:pPr>
              <w:pStyle w:val="Pa12"/>
              <w:rPr>
                <w:rStyle w:val="A4"/>
                <w:b/>
                <w:bCs/>
              </w:rPr>
            </w:pPr>
          </w:p>
        </w:tc>
      </w:tr>
    </w:tbl>
    <w:p w14:paraId="252D5801" w14:textId="77777777" w:rsidR="00BF7623" w:rsidRDefault="00BF7623"/>
    <w:sectPr w:rsidR="00BF76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38"/>
    <w:rsid w:val="000177D6"/>
    <w:rsid w:val="00026672"/>
    <w:rsid w:val="00045E81"/>
    <w:rsid w:val="00062A66"/>
    <w:rsid w:val="000B0838"/>
    <w:rsid w:val="000C46D0"/>
    <w:rsid w:val="000D36B4"/>
    <w:rsid w:val="000D717C"/>
    <w:rsid w:val="00131537"/>
    <w:rsid w:val="00144B93"/>
    <w:rsid w:val="00147A92"/>
    <w:rsid w:val="00175EFA"/>
    <w:rsid w:val="00194801"/>
    <w:rsid w:val="001C1E82"/>
    <w:rsid w:val="001F2A42"/>
    <w:rsid w:val="001F54F5"/>
    <w:rsid w:val="001F587E"/>
    <w:rsid w:val="0021222A"/>
    <w:rsid w:val="00235404"/>
    <w:rsid w:val="00237F3D"/>
    <w:rsid w:val="00253339"/>
    <w:rsid w:val="00257AB3"/>
    <w:rsid w:val="00275E89"/>
    <w:rsid w:val="00281773"/>
    <w:rsid w:val="002A624D"/>
    <w:rsid w:val="0033500B"/>
    <w:rsid w:val="00380064"/>
    <w:rsid w:val="00392F6B"/>
    <w:rsid w:val="00393413"/>
    <w:rsid w:val="003B0AD1"/>
    <w:rsid w:val="003B2A06"/>
    <w:rsid w:val="003F4B61"/>
    <w:rsid w:val="004116DF"/>
    <w:rsid w:val="00412E21"/>
    <w:rsid w:val="00434A19"/>
    <w:rsid w:val="00475B54"/>
    <w:rsid w:val="00481F5B"/>
    <w:rsid w:val="004821A6"/>
    <w:rsid w:val="004F140A"/>
    <w:rsid w:val="004F2D62"/>
    <w:rsid w:val="004F42E8"/>
    <w:rsid w:val="0051097C"/>
    <w:rsid w:val="00531991"/>
    <w:rsid w:val="005A578B"/>
    <w:rsid w:val="005A7E83"/>
    <w:rsid w:val="005E3066"/>
    <w:rsid w:val="00653A67"/>
    <w:rsid w:val="006E092B"/>
    <w:rsid w:val="006F178A"/>
    <w:rsid w:val="00723729"/>
    <w:rsid w:val="00723ABC"/>
    <w:rsid w:val="00772816"/>
    <w:rsid w:val="00785AA9"/>
    <w:rsid w:val="00791868"/>
    <w:rsid w:val="00794878"/>
    <w:rsid w:val="007C7CA7"/>
    <w:rsid w:val="007D43C6"/>
    <w:rsid w:val="007D46E7"/>
    <w:rsid w:val="007D61D8"/>
    <w:rsid w:val="00834924"/>
    <w:rsid w:val="008B456E"/>
    <w:rsid w:val="008E52E6"/>
    <w:rsid w:val="0090350A"/>
    <w:rsid w:val="0096451C"/>
    <w:rsid w:val="0099166C"/>
    <w:rsid w:val="009A1957"/>
    <w:rsid w:val="009D1E10"/>
    <w:rsid w:val="009D5556"/>
    <w:rsid w:val="009E29FA"/>
    <w:rsid w:val="009E7B0E"/>
    <w:rsid w:val="009F04EF"/>
    <w:rsid w:val="009F08FA"/>
    <w:rsid w:val="00A10FA3"/>
    <w:rsid w:val="00A127D8"/>
    <w:rsid w:val="00A41915"/>
    <w:rsid w:val="00A75B6E"/>
    <w:rsid w:val="00A90CC7"/>
    <w:rsid w:val="00B46766"/>
    <w:rsid w:val="00BA3AC2"/>
    <w:rsid w:val="00BC32AE"/>
    <w:rsid w:val="00BF7623"/>
    <w:rsid w:val="00C32D6D"/>
    <w:rsid w:val="00C40CEC"/>
    <w:rsid w:val="00C60168"/>
    <w:rsid w:val="00C949A6"/>
    <w:rsid w:val="00CC61CD"/>
    <w:rsid w:val="00CE27DA"/>
    <w:rsid w:val="00D016D1"/>
    <w:rsid w:val="00DA6B8D"/>
    <w:rsid w:val="00DE6199"/>
    <w:rsid w:val="00E12601"/>
    <w:rsid w:val="00E1678C"/>
    <w:rsid w:val="00E20B89"/>
    <w:rsid w:val="00E23368"/>
    <w:rsid w:val="00E37365"/>
    <w:rsid w:val="00E37371"/>
    <w:rsid w:val="00E45D93"/>
    <w:rsid w:val="00E534E3"/>
    <w:rsid w:val="00EE727A"/>
    <w:rsid w:val="00EF6469"/>
    <w:rsid w:val="00F12548"/>
    <w:rsid w:val="00F14B84"/>
    <w:rsid w:val="00F36D3B"/>
    <w:rsid w:val="00F70B64"/>
    <w:rsid w:val="00FA5DA5"/>
    <w:rsid w:val="00FA6198"/>
    <w:rsid w:val="00FE6B29"/>
    <w:rsid w:val="00FF5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8D23"/>
  <w15:chartTrackingRefBased/>
  <w15:docId w15:val="{7F21A9C7-94E3-6A40-87A9-382749F5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838"/>
    <w:rPr>
      <w:rFonts w:ascii="Times New Roman" w:eastAsia="Times New Roman" w:hAnsi="Times New Roman"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0838"/>
    <w:pPr>
      <w:autoSpaceDE w:val="0"/>
      <w:autoSpaceDN w:val="0"/>
      <w:adjustRightInd w:val="0"/>
    </w:pPr>
    <w:rPr>
      <w:rFonts w:ascii="Arial" w:eastAsia="Times New Roman" w:hAnsi="Arial" w:cs="Arial"/>
      <w:color w:val="000000"/>
      <w:kern w:val="0"/>
      <w:lang w:val="en-NZ" w:eastAsia="en-NZ"/>
      <w14:ligatures w14:val="none"/>
    </w:rPr>
  </w:style>
  <w:style w:type="character" w:customStyle="1" w:styleId="A4">
    <w:name w:val="A4"/>
    <w:uiPriority w:val="99"/>
    <w:rsid w:val="000B0838"/>
    <w:rPr>
      <w:color w:val="000000"/>
      <w:sz w:val="22"/>
      <w:szCs w:val="22"/>
    </w:rPr>
  </w:style>
  <w:style w:type="paragraph" w:customStyle="1" w:styleId="Pa12">
    <w:name w:val="Pa12"/>
    <w:basedOn w:val="Default"/>
    <w:next w:val="Default"/>
    <w:uiPriority w:val="99"/>
    <w:rsid w:val="000B0838"/>
    <w:pPr>
      <w:spacing w:line="241" w:lineRule="atLeast"/>
    </w:pPr>
    <w:rPr>
      <w:color w:val="auto"/>
    </w:rPr>
  </w:style>
  <w:style w:type="character" w:styleId="CommentReference">
    <w:name w:val="annotation reference"/>
    <w:basedOn w:val="DefaultParagraphFont"/>
    <w:uiPriority w:val="99"/>
    <w:semiHidden/>
    <w:unhideWhenUsed/>
    <w:rsid w:val="000B0838"/>
    <w:rPr>
      <w:sz w:val="16"/>
      <w:szCs w:val="16"/>
    </w:rPr>
  </w:style>
  <w:style w:type="paragraph" w:styleId="CommentText">
    <w:name w:val="annotation text"/>
    <w:basedOn w:val="Normal"/>
    <w:link w:val="CommentTextChar"/>
    <w:uiPriority w:val="99"/>
    <w:unhideWhenUsed/>
    <w:rsid w:val="00281773"/>
    <w:rPr>
      <w:sz w:val="20"/>
      <w:szCs w:val="20"/>
      <w:lang w:val="en-AU" w:eastAsia="en-GB"/>
    </w:rPr>
  </w:style>
  <w:style w:type="character" w:customStyle="1" w:styleId="CommentTextChar">
    <w:name w:val="Comment Text Char"/>
    <w:basedOn w:val="DefaultParagraphFont"/>
    <w:link w:val="CommentText"/>
    <w:uiPriority w:val="99"/>
    <w:rsid w:val="00281773"/>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A6198"/>
    <w:rPr>
      <w:b/>
      <w:bCs/>
      <w:lang w:val="en-GB" w:eastAsia="en-US"/>
    </w:rPr>
  </w:style>
  <w:style w:type="character" w:customStyle="1" w:styleId="CommentSubjectChar">
    <w:name w:val="Comment Subject Char"/>
    <w:basedOn w:val="CommentTextChar"/>
    <w:link w:val="CommentSubject"/>
    <w:uiPriority w:val="99"/>
    <w:semiHidden/>
    <w:rsid w:val="00FA6198"/>
    <w:rPr>
      <w:rFonts w:ascii="Times New Roman" w:eastAsia="Times New Roman" w:hAnsi="Times New Roman" w:cs="Times New Roman"/>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FA6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198"/>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8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2754</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Ly</dc:creator>
  <cp:keywords/>
  <dc:description/>
  <cp:lastModifiedBy>Lena Ly</cp:lastModifiedBy>
  <cp:revision>3</cp:revision>
  <dcterms:created xsi:type="dcterms:W3CDTF">2023-10-19T06:19:00Z</dcterms:created>
  <dcterms:modified xsi:type="dcterms:W3CDTF">2023-10-19T06:30:00Z</dcterms:modified>
</cp:coreProperties>
</file>