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8FA7" w14:textId="77777777" w:rsidR="00957157" w:rsidRPr="002B7B3C" w:rsidRDefault="00957157" w:rsidP="002B7B3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b/>
          <w:bCs/>
          <w:kern w:val="0"/>
          <w:sz w:val="22"/>
          <w:szCs w:val="24"/>
        </w:rPr>
      </w:pPr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HbA1c–fasting </w:t>
      </w:r>
      <w:proofErr w:type="gramStart"/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>g</w:t>
      </w:r>
      <w:r w:rsidR="009547D3"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lucose </w:t>
      </w:r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>based</w:t>
      </w:r>
      <w:proofErr w:type="gramEnd"/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 prediabetes p</w:t>
      </w:r>
      <w:r w:rsidR="009547D3"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henotypes and </w:t>
      </w:r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>liver fibrosis r</w:t>
      </w:r>
      <w:r w:rsidR="009547D3"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isk in </w:t>
      </w:r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metabolic dysfunction–associated </w:t>
      </w:r>
      <w:proofErr w:type="spellStart"/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>steatotic</w:t>
      </w:r>
      <w:proofErr w:type="spellEnd"/>
      <w:r w:rsidRPr="002B7B3C">
        <w:rPr>
          <w:rFonts w:ascii="Arial" w:eastAsia="Gulim" w:hAnsi="Arial" w:cs="Arial"/>
          <w:b/>
          <w:bCs/>
          <w:kern w:val="0"/>
          <w:sz w:val="22"/>
          <w:szCs w:val="24"/>
        </w:rPr>
        <w:t xml:space="preserve"> liver disease</w:t>
      </w:r>
    </w:p>
    <w:p w14:paraId="09D6CBCB" w14:textId="77777777" w:rsidR="00E15B9B" w:rsidRPr="002B7B3C" w:rsidRDefault="00E15B9B" w:rsidP="002B7B3C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 xml:space="preserve">Aim  </w:t>
      </w:r>
    </w:p>
    <w:p w14:paraId="1054E139" w14:textId="77777777" w:rsidR="00E15B9B" w:rsidRPr="002B7B3C" w:rsidRDefault="006676C6" w:rsidP="002B7B3C">
      <w:pPr>
        <w:spacing w:line="240" w:lineRule="auto"/>
        <w:jc w:val="left"/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Metabolic dysfunction–associated </w:t>
      </w:r>
      <w:proofErr w:type="spellStart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steatotic</w:t>
      </w:r>
      <w:proofErr w:type="spellEnd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liver disease (MASLD) is common in </w:t>
      </w:r>
      <w:proofErr w:type="spellStart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dysglycemia</w:t>
      </w:r>
      <w:proofErr w:type="spellEnd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and strongly linked to advanced fibrosis and adverse outcomes. Impaired fasting glucose or type 2 diabetes mellitus (T2DM) is the strongest MASLD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related predictor of significant fibrosis, yet current guidance largely treats prediabetes as a single category. We therefore examined </w:t>
      </w:r>
      <w:r w:rsidR="00A45CB2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MASLD 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and fibrosis across HbA1c–FPG–based glucose phenotypes 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in the community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based Cardiovascular and Metabolic Diseases Etiology Research Center (CMERC) cohort. </w:t>
      </w:r>
    </w:p>
    <w:p w14:paraId="2350FD35" w14:textId="77777777" w:rsidR="00E15B9B" w:rsidRPr="002B7B3C" w:rsidRDefault="00E15B9B" w:rsidP="002B7B3C">
      <w:pPr>
        <w:spacing w:line="240" w:lineRule="auto"/>
        <w:jc w:val="left"/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 xml:space="preserve">Methods </w:t>
      </w:r>
    </w:p>
    <w:p w14:paraId="750EA840" w14:textId="77777777" w:rsidR="006676C6" w:rsidRPr="002B7B3C" w:rsidRDefault="006676C6" w:rsidP="002B7B3C">
      <w:pPr>
        <w:spacing w:line="240" w:lineRule="auto"/>
        <w:jc w:val="left"/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In this cross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sectional analysis, we included 6,255 adults after excluding those with significant alcohol intake or other chronic liver diseases. Glucose phenotypes were defined using ADA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aligned thresholds: normal glucose tolerance (NGT), isolated impaired fasting glucose (isolated IFG), isolated high HbA1c, </w:t>
      </w:r>
      <w:proofErr w:type="spellStart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IFG+high</w:t>
      </w:r>
      <w:proofErr w:type="spellEnd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HbA1c, and T2DM. </w:t>
      </w:r>
      <w:proofErr w:type="spellStart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Steatotic</w:t>
      </w:r>
      <w:proofErr w:type="spellEnd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liver disease was defined by fatty liver index (FLI) and liver fibrosis by NAFLD fibrosis score (NFS). Multivariable logistic regression estimated adjusted odds ratios (ORs) for moderate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to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advanced fibrosis across phenotypes, controlling for age, sex, obesity, hypertension, and dyslipidemia.</w:t>
      </w:r>
    </w:p>
    <w:p w14:paraId="4E59A2D3" w14:textId="77777777" w:rsidR="00E15B9B" w:rsidRPr="002B7B3C" w:rsidRDefault="006676C6" w:rsidP="002B7B3C">
      <w:pPr>
        <w:spacing w:line="240" w:lineRule="auto"/>
        <w:jc w:val="left"/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>Results</w:t>
      </w:r>
      <w:r w:rsidR="00E15B9B"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 xml:space="preserve"> </w:t>
      </w:r>
    </w:p>
    <w:p w14:paraId="5FC850FE" w14:textId="77777777" w:rsidR="00E15B9B" w:rsidRPr="002B7B3C" w:rsidRDefault="006676C6" w:rsidP="002B7B3C">
      <w:pPr>
        <w:spacing w:line="240" w:lineRule="auto"/>
        <w:jc w:val="left"/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Of 6,255 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participants, 3,399 were NGT, 341 isolated IFG, 1,304 isolated high HbA1c, 591 </w:t>
      </w:r>
      <w:proofErr w:type="spellStart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IFG+high</w:t>
      </w:r>
      <w:proofErr w:type="spellEnd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HbA1c, and 620 T2DM. FLI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defined </w:t>
      </w:r>
      <w:proofErr w:type="spellStart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steatotic</w:t>
      </w:r>
      <w:proofErr w:type="spellEnd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liver disease increased from 23.5% in NGT to 39.0% in isolated IFG, 34.4% in isolated high HbA1c, 45.7% in </w:t>
      </w:r>
      <w:proofErr w:type="spellStart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IFG+high</w:t>
      </w:r>
      <w:proofErr w:type="spellEnd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HbA1c, and 56.9% in T2DM (p&lt;0.001). NFS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defined moderate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to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advanced fibrosis was present in 3.4%, 22.0%, 4.8%, 24.0%, and 30.2%, respectively (p&lt;0.001). Compared with NGT, adjusted ORs (95% CI) for moderate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to</w:t>
      </w:r>
      <w:r w:rsidR="00E15B9B"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advanced fibrosis were 5.78 (4.06–8.23) in isolated IFG, 0.96 (0.69–1.33) in isolated high HbA1c, 5.91 (4.43–7.87) in </w:t>
      </w:r>
      <w:proofErr w:type="spellStart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IFG+high</w:t>
      </w:r>
      <w:proofErr w:type="spellEnd"/>
      <w:r w:rsidR="00E15B9B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HbA1c, and 5.74 (4.36–7.56) in T2DM. </w:t>
      </w:r>
    </w:p>
    <w:p w14:paraId="22D80009" w14:textId="77777777" w:rsidR="00E15B9B" w:rsidRPr="002B7B3C" w:rsidRDefault="006676C6" w:rsidP="002B7B3C">
      <w:pPr>
        <w:spacing w:line="240" w:lineRule="auto"/>
        <w:jc w:val="left"/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</w:pPr>
      <w:r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>Conclusion</w:t>
      </w:r>
      <w:r w:rsidR="00E15B9B" w:rsidRPr="002B7B3C">
        <w:rPr>
          <w:rFonts w:ascii="Arial" w:eastAsia="Gulim" w:hAnsi="Arial" w:cs="Arial"/>
          <w:b/>
          <w:bCs/>
          <w:color w:val="000000" w:themeColor="text1"/>
          <w:kern w:val="0"/>
          <w:sz w:val="22"/>
          <w:szCs w:val="24"/>
        </w:rPr>
        <w:t xml:space="preserve">  </w:t>
      </w:r>
    </w:p>
    <w:p w14:paraId="538611FD" w14:textId="77777777" w:rsidR="00A94E49" w:rsidRPr="002B7B3C" w:rsidRDefault="006676C6" w:rsidP="002B7B3C">
      <w:pPr>
        <w:spacing w:line="240" w:lineRule="auto"/>
        <w:jc w:val="left"/>
        <w:rPr>
          <w:rFonts w:ascii="Arial" w:hAnsi="Arial" w:cs="Arial"/>
          <w:color w:val="000000" w:themeColor="text1"/>
        </w:rPr>
      </w:pP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In </w:t>
      </w:r>
      <w:r w:rsidR="00A45CB2"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this study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, HbA1c–FPG–defined prediabetes phenotypes were heterogeneous: isolated IFG and </w:t>
      </w:r>
      <w:proofErr w:type="spellStart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IFG+high</w:t>
      </w:r>
      <w:proofErr w:type="spellEnd"/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 xml:space="preserve"> HbA1c carried fibrosis risk comparable to T2DM, whereas isolated high HbA1c did not. These findings support specifying IFG</w:t>
      </w:r>
      <w:r w:rsidRPr="002B7B3C">
        <w:rPr>
          <w:rFonts w:ascii="Cambria Math" w:eastAsia="Gulim" w:hAnsi="Cambria Math" w:cs="Cambria Math"/>
          <w:bCs/>
          <w:color w:val="000000" w:themeColor="text1"/>
          <w:kern w:val="0"/>
          <w:sz w:val="22"/>
          <w:szCs w:val="24"/>
        </w:rPr>
        <w:t>‑</w:t>
      </w:r>
      <w:r w:rsidRPr="002B7B3C">
        <w:rPr>
          <w:rFonts w:ascii="Arial" w:eastAsia="Gulim" w:hAnsi="Arial" w:cs="Arial"/>
          <w:bCs/>
          <w:color w:val="000000" w:themeColor="text1"/>
          <w:kern w:val="0"/>
          <w:sz w:val="22"/>
          <w:szCs w:val="24"/>
        </w:rPr>
        <w:t>based prediabetes phenotypes as priority groups for targeted noninvasive fibrosis screening beyond diabetes.</w:t>
      </w:r>
    </w:p>
    <w:sectPr w:rsidR="00A94E49" w:rsidRPr="002B7B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763" w14:textId="77777777" w:rsidR="00823A56" w:rsidRDefault="00823A56" w:rsidP="00F46A2A">
      <w:pPr>
        <w:spacing w:after="0" w:line="240" w:lineRule="auto"/>
      </w:pPr>
      <w:r>
        <w:separator/>
      </w:r>
    </w:p>
  </w:endnote>
  <w:endnote w:type="continuationSeparator" w:id="0">
    <w:p w14:paraId="3E5137AA" w14:textId="77777777" w:rsidR="00823A56" w:rsidRDefault="00823A56" w:rsidP="00F4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3F2D" w14:textId="77777777" w:rsidR="00823A56" w:rsidRDefault="00823A56" w:rsidP="00F46A2A">
      <w:pPr>
        <w:spacing w:after="0" w:line="240" w:lineRule="auto"/>
      </w:pPr>
      <w:r>
        <w:separator/>
      </w:r>
    </w:p>
  </w:footnote>
  <w:footnote w:type="continuationSeparator" w:id="0">
    <w:p w14:paraId="067E4FA8" w14:textId="77777777" w:rsidR="00823A56" w:rsidRDefault="00823A56" w:rsidP="00F46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D3"/>
    <w:rsid w:val="001B29CB"/>
    <w:rsid w:val="002B7B3C"/>
    <w:rsid w:val="00347ECF"/>
    <w:rsid w:val="00427D0C"/>
    <w:rsid w:val="006676C6"/>
    <w:rsid w:val="00823A56"/>
    <w:rsid w:val="009547D3"/>
    <w:rsid w:val="00957157"/>
    <w:rsid w:val="00A45CB2"/>
    <w:rsid w:val="00A94E49"/>
    <w:rsid w:val="00E15B9B"/>
    <w:rsid w:val="00F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DA182"/>
  <w15:chartTrackingRefBased/>
  <w15:docId w15:val="{59BA6C67-0A3E-4FB9-8B77-C8FF1CB1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-2">
    <w:name w:val="my-2"/>
    <w:basedOn w:val="Normal"/>
    <w:rsid w:val="009547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inline-block">
    <w:name w:val="inline-block"/>
    <w:basedOn w:val="DefaultParagraphFont"/>
    <w:rsid w:val="009547D3"/>
  </w:style>
  <w:style w:type="character" w:customStyle="1" w:styleId="opacity-50">
    <w:name w:val="opacity-50"/>
    <w:basedOn w:val="DefaultParagraphFont"/>
    <w:rsid w:val="009547D3"/>
  </w:style>
  <w:style w:type="character" w:styleId="Strong">
    <w:name w:val="Strong"/>
    <w:basedOn w:val="DefaultParagraphFont"/>
    <w:uiPriority w:val="22"/>
    <w:qFormat/>
    <w:rsid w:val="009547D3"/>
    <w:rPr>
      <w:b/>
      <w:bCs/>
    </w:rPr>
  </w:style>
  <w:style w:type="character" w:customStyle="1" w:styleId="inline-flex">
    <w:name w:val="inline-flex"/>
    <w:basedOn w:val="DefaultParagraphFont"/>
    <w:rsid w:val="009547D3"/>
  </w:style>
  <w:style w:type="character" w:styleId="Hyperlink">
    <w:name w:val="Hyperlink"/>
    <w:basedOn w:val="DefaultParagraphFont"/>
    <w:uiPriority w:val="99"/>
    <w:semiHidden/>
    <w:unhideWhenUsed/>
    <w:rsid w:val="009547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A2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46A2A"/>
  </w:style>
  <w:style w:type="paragraph" w:styleId="Footer">
    <w:name w:val="footer"/>
    <w:basedOn w:val="Normal"/>
    <w:link w:val="FooterChar"/>
    <w:uiPriority w:val="99"/>
    <w:unhideWhenUsed/>
    <w:rsid w:val="00F46A2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4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455E01-E27C-45F0-BB21-369EC28DA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ED567-F7CB-4F1F-B6FF-16FFDEB33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08633-8224-409F-8173-126EFE3C39B7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INHA</dc:creator>
  <cp:keywords/>
  <dc:description/>
  <cp:lastModifiedBy>Tanya Yandall</cp:lastModifiedBy>
  <cp:revision>3</cp:revision>
  <dcterms:created xsi:type="dcterms:W3CDTF">2026-03-23T23:03:00Z</dcterms:created>
  <dcterms:modified xsi:type="dcterms:W3CDTF">2026-03-23T23:03:00Z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