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2EBD717C" w:rsidR="001564A4" w:rsidRPr="0050053A" w:rsidRDefault="00AE027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Clinical outcomes in a</w:t>
            </w:r>
            <w:r w:rsidR="00B24D1E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proofErr w:type="gramStart"/>
            <w:r w:rsidR="00B24D1E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12-18 year old</w:t>
            </w:r>
            <w:proofErr w:type="gramEnd"/>
            <w:r w:rsidR="00B24D1E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BF757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cystic fibrosis </w:t>
            </w:r>
            <w:r w:rsidR="00B24D1E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cohort</w:t>
            </w:r>
            <w:r w:rsidR="00C20B8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6A105E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following</w:t>
            </w:r>
            <w:r w:rsidR="00B24D1E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commencement of</w:t>
            </w:r>
            <w:r w:rsidR="00C20B8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="00C20B8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Elexacaftor</w:t>
            </w:r>
            <w:proofErr w:type="spellEnd"/>
            <w:r w:rsidR="00C20B8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/</w:t>
            </w:r>
            <w:proofErr w:type="spellStart"/>
            <w:r w:rsidR="00C20B8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Tezacaftor</w:t>
            </w:r>
            <w:proofErr w:type="spellEnd"/>
            <w:r w:rsidR="00C20B8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/Ivacaftor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: a retrospective, single-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centre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audit</w:t>
            </w:r>
          </w:p>
        </w:tc>
      </w:tr>
      <w:tr w:rsidR="001564A4" w:rsidRPr="0050053A" w14:paraId="0E2E035C" w14:textId="77777777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65E55077" w:rsidR="001564A4" w:rsidRPr="00413B94" w:rsidRDefault="00C20B8B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bookmarkStart w:id="0" w:name="Text8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James Johnston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End w:id="0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1627">
              <w:rPr>
                <w:rFonts w:ascii="Arial" w:hAnsi="Arial" w:cs="Arial"/>
                <w:sz w:val="22"/>
                <w:szCs w:val="22"/>
              </w:rPr>
              <w:t>Martin Donnelley</w:t>
            </w:r>
            <w:r w:rsidRPr="00E5162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2,3</w:t>
            </w:r>
            <w:r w:rsidR="00BF75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BF7574">
              <w:rPr>
                <w:rFonts w:ascii="Arial" w:hAnsi="Arial" w:cs="Arial"/>
                <w:sz w:val="22"/>
                <w:szCs w:val="22"/>
                <w:lang w:val="en-US" w:eastAsia="en-GB"/>
              </w:rPr>
              <w:t>Andrew Tai</w:t>
            </w:r>
            <w:r w:rsidR="00BF757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1,2,3</w:t>
            </w:r>
          </w:p>
        </w:tc>
      </w:tr>
      <w:tr w:rsidR="001564A4" w:rsidRPr="0050053A" w14:paraId="385A19D9" w14:textId="77777777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BB6B779" w14:textId="1AA0AE9B" w:rsidR="00C20B8B" w:rsidRDefault="00C20B8B" w:rsidP="00C20B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Respiratory and Sleep Medicine, Women’s and Children’s Hospital, North Adelaide, SA, Australia</w:t>
            </w:r>
          </w:p>
          <w:p w14:paraId="5B159C80" w14:textId="77777777" w:rsidR="00C20B8B" w:rsidRDefault="00C20B8B" w:rsidP="00C20B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Adelaide Medical School, The University of Adelaide, Adelaide, SA, Australia</w:t>
            </w:r>
          </w:p>
          <w:p w14:paraId="45ED36BF" w14:textId="60323D75" w:rsidR="001564A4" w:rsidRPr="00C20B8B" w:rsidRDefault="00C20B8B" w:rsidP="00C20B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>Robinson Research Institute, The University of Adelaide, Adelaide, SA, Australia</w:t>
            </w:r>
          </w:p>
        </w:tc>
      </w:tr>
      <w:tr w:rsidR="001564A4" w:rsidRPr="0050053A" w14:paraId="6DAF615A" w14:textId="77777777" w:rsidTr="00D740FC">
        <w:trPr>
          <w:trHeight w:hRule="exact" w:val="11067"/>
          <w:jc w:val="center"/>
        </w:trPr>
        <w:tc>
          <w:tcPr>
            <w:tcW w:w="8640" w:type="dxa"/>
            <w:shd w:val="clear" w:color="auto" w:fill="auto"/>
          </w:tcPr>
          <w:p w14:paraId="219D1597" w14:textId="04B6B2E3" w:rsidR="001564A4" w:rsidRPr="004112E5" w:rsidRDefault="001564A4" w:rsidP="00CC1117">
            <w:pPr>
              <w:pStyle w:val="Pa12"/>
              <w:rPr>
                <w:color w:val="000000"/>
                <w:sz w:val="22"/>
                <w:szCs w:val="22"/>
              </w:rPr>
            </w:pPr>
            <w:r w:rsidRPr="006A105E">
              <w:rPr>
                <w:rStyle w:val="A4"/>
                <w:b/>
                <w:bCs/>
              </w:rPr>
              <w:lastRenderedPageBreak/>
              <w:t xml:space="preserve">Introduction/Aim: </w:t>
            </w:r>
            <w:r w:rsidRPr="006A105E">
              <w:rPr>
                <w:sz w:val="22"/>
                <w:szCs w:val="22"/>
              </w:rPr>
              <w:br/>
            </w:r>
            <w:r w:rsidR="00C20B8B" w:rsidRPr="006A105E">
              <w:rPr>
                <w:sz w:val="22"/>
                <w:szCs w:val="22"/>
              </w:rPr>
              <w:t xml:space="preserve">Cystic Fibrosis (CF) is a genetic disorder with multi system comorbidities that is traditionally associated with poor lung function, poor nutrition, frequent </w:t>
            </w:r>
            <w:proofErr w:type="gramStart"/>
            <w:r w:rsidR="00C20B8B" w:rsidRPr="006A105E">
              <w:rPr>
                <w:sz w:val="22"/>
                <w:szCs w:val="22"/>
              </w:rPr>
              <w:t>hospitalisations</w:t>
            </w:r>
            <w:proofErr w:type="gramEnd"/>
            <w:r w:rsidR="00C20B8B" w:rsidRPr="006A105E">
              <w:rPr>
                <w:sz w:val="22"/>
                <w:szCs w:val="22"/>
              </w:rPr>
              <w:t xml:space="preserve"> and increased mortality. In April 2022, a </w:t>
            </w:r>
            <w:r w:rsidR="00BF7574">
              <w:rPr>
                <w:sz w:val="22"/>
                <w:szCs w:val="22"/>
              </w:rPr>
              <w:t>cystic fibrosis</w:t>
            </w:r>
            <w:r w:rsidR="00C20B8B" w:rsidRPr="006A105E">
              <w:rPr>
                <w:sz w:val="22"/>
                <w:szCs w:val="22"/>
              </w:rPr>
              <w:t xml:space="preserve"> modulator treatment called </w:t>
            </w:r>
            <w:proofErr w:type="spellStart"/>
            <w:r w:rsidR="00C20B8B" w:rsidRPr="006A105E">
              <w:rPr>
                <w:sz w:val="22"/>
                <w:szCs w:val="22"/>
              </w:rPr>
              <w:t>Elexacaftor</w:t>
            </w:r>
            <w:proofErr w:type="spellEnd"/>
            <w:r w:rsidR="00C20B8B" w:rsidRPr="006A105E">
              <w:rPr>
                <w:sz w:val="22"/>
                <w:szCs w:val="22"/>
              </w:rPr>
              <w:t>/</w:t>
            </w:r>
            <w:proofErr w:type="spellStart"/>
            <w:r w:rsidR="00C20B8B" w:rsidRPr="006A105E">
              <w:rPr>
                <w:sz w:val="22"/>
                <w:szCs w:val="22"/>
              </w:rPr>
              <w:t>Tezacaftor</w:t>
            </w:r>
            <w:proofErr w:type="spellEnd"/>
            <w:r w:rsidR="00C20B8B" w:rsidRPr="006A105E">
              <w:rPr>
                <w:sz w:val="22"/>
                <w:szCs w:val="22"/>
              </w:rPr>
              <w:t xml:space="preserve">/Ivacaftor </w:t>
            </w:r>
            <w:r w:rsidR="00AE027F">
              <w:rPr>
                <w:sz w:val="22"/>
                <w:szCs w:val="22"/>
              </w:rPr>
              <w:t>(Trikafta</w:t>
            </w:r>
            <w:r w:rsidR="00AE027F" w:rsidRPr="00AE027F">
              <w:rPr>
                <w:color w:val="222222"/>
                <w:sz w:val="22"/>
                <w:szCs w:val="22"/>
                <w:shd w:val="clear" w:color="auto" w:fill="FFFFFF"/>
              </w:rPr>
              <w:t>®</w:t>
            </w:r>
            <w:r w:rsidR="00AE027F">
              <w:rPr>
                <w:sz w:val="22"/>
                <w:szCs w:val="22"/>
              </w:rPr>
              <w:t xml:space="preserve">) </w:t>
            </w:r>
            <w:r w:rsidR="00C20B8B" w:rsidRPr="006A105E">
              <w:rPr>
                <w:sz w:val="22"/>
                <w:szCs w:val="22"/>
              </w:rPr>
              <w:t xml:space="preserve">was approved by the PBS for patients 12 years or over with CF who have a single F508 del mutation. </w:t>
            </w:r>
            <w:r w:rsidR="00AE027F">
              <w:rPr>
                <w:sz w:val="22"/>
                <w:szCs w:val="22"/>
              </w:rPr>
              <w:t xml:space="preserve">The aim of this study is to </w:t>
            </w:r>
            <w:r w:rsidR="00C20B8B" w:rsidRPr="006A105E">
              <w:rPr>
                <w:sz w:val="22"/>
                <w:szCs w:val="22"/>
              </w:rPr>
              <w:t>describe</w:t>
            </w:r>
            <w:r w:rsidR="00BF7574">
              <w:rPr>
                <w:sz w:val="22"/>
                <w:szCs w:val="22"/>
              </w:rPr>
              <w:t xml:space="preserve"> 12 months</w:t>
            </w:r>
            <w:r w:rsidR="00C20B8B" w:rsidRPr="006A105E">
              <w:rPr>
                <w:sz w:val="22"/>
                <w:szCs w:val="22"/>
              </w:rPr>
              <w:t xml:space="preserve"> clinical outcomes in our paediatric cohort</w:t>
            </w:r>
            <w:r w:rsidR="00BF7574">
              <w:rPr>
                <w:sz w:val="22"/>
                <w:szCs w:val="22"/>
              </w:rPr>
              <w:t>.</w:t>
            </w:r>
          </w:p>
          <w:p w14:paraId="3D770CF7" w14:textId="77777777" w:rsidR="001564A4" w:rsidRPr="006A105E" w:rsidRDefault="001564A4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6A105E" w:rsidRDefault="001564A4">
            <w:pPr>
              <w:pStyle w:val="Pa12"/>
              <w:rPr>
                <w:rStyle w:val="A4"/>
                <w:b/>
                <w:bCs/>
              </w:rPr>
            </w:pPr>
            <w:r w:rsidRPr="006A105E">
              <w:rPr>
                <w:rStyle w:val="A4"/>
                <w:b/>
                <w:bCs/>
              </w:rPr>
              <w:t xml:space="preserve">Methods: </w:t>
            </w:r>
          </w:p>
          <w:p w14:paraId="51DC7F61" w14:textId="1B644809" w:rsidR="00C20B8B" w:rsidRPr="006A105E" w:rsidRDefault="00C20B8B" w:rsidP="00CC1117">
            <w:pPr>
              <w:pStyle w:val="Pa12"/>
              <w:rPr>
                <w:sz w:val="22"/>
                <w:szCs w:val="22"/>
              </w:rPr>
            </w:pPr>
            <w:r w:rsidRPr="006A105E">
              <w:rPr>
                <w:sz w:val="22"/>
                <w:szCs w:val="22"/>
              </w:rPr>
              <w:t>This is a retrospective, single-centre audit</w:t>
            </w:r>
            <w:r w:rsidR="006A105E" w:rsidRPr="006A105E">
              <w:rPr>
                <w:sz w:val="22"/>
                <w:szCs w:val="22"/>
              </w:rPr>
              <w:t xml:space="preserve"> of</w:t>
            </w:r>
            <w:r w:rsidR="006059E6" w:rsidRPr="006A105E">
              <w:rPr>
                <w:sz w:val="22"/>
                <w:szCs w:val="22"/>
              </w:rPr>
              <w:t xml:space="preserve"> those</w:t>
            </w:r>
            <w:r w:rsidRPr="006A105E">
              <w:rPr>
                <w:sz w:val="22"/>
                <w:szCs w:val="22"/>
              </w:rPr>
              <w:t xml:space="preserve"> 12 years or older who commenced Trikafta</w:t>
            </w:r>
            <w:r w:rsidR="006A105E" w:rsidRPr="006A105E">
              <w:rPr>
                <w:sz w:val="22"/>
                <w:szCs w:val="22"/>
              </w:rPr>
              <w:t xml:space="preserve"> and completed regular pulmonary function testing for a period of 12 months</w:t>
            </w:r>
            <w:r w:rsidR="00BF7574">
              <w:rPr>
                <w:sz w:val="22"/>
                <w:szCs w:val="22"/>
              </w:rPr>
              <w:t xml:space="preserve"> at the Women’s and Children’s Hospital in Adelaide. </w:t>
            </w:r>
            <w:r w:rsidR="00AE027F">
              <w:rPr>
                <w:sz w:val="22"/>
                <w:szCs w:val="22"/>
              </w:rPr>
              <w:t>Outcomes include</w:t>
            </w:r>
            <w:r w:rsidRPr="006A105E">
              <w:rPr>
                <w:sz w:val="22"/>
                <w:szCs w:val="22"/>
              </w:rPr>
              <w:t xml:space="preserve"> </w:t>
            </w:r>
            <w:r w:rsidR="006A105E" w:rsidRPr="006A105E">
              <w:rPr>
                <w:sz w:val="22"/>
                <w:szCs w:val="22"/>
              </w:rPr>
              <w:t>pulmonary</w:t>
            </w:r>
            <w:r w:rsidRPr="006A105E">
              <w:rPr>
                <w:sz w:val="22"/>
                <w:szCs w:val="22"/>
              </w:rPr>
              <w:t xml:space="preserve"> function (</w:t>
            </w:r>
            <w:r w:rsidR="006A105E" w:rsidRPr="006A105E">
              <w:rPr>
                <w:sz w:val="22"/>
                <w:szCs w:val="22"/>
              </w:rPr>
              <w:t xml:space="preserve">predicted </w:t>
            </w:r>
            <w:r w:rsidRPr="006A105E">
              <w:rPr>
                <w:sz w:val="22"/>
                <w:szCs w:val="22"/>
              </w:rPr>
              <w:t xml:space="preserve">FVC and </w:t>
            </w:r>
            <w:r w:rsidR="00AE027F">
              <w:rPr>
                <w:sz w:val="22"/>
                <w:szCs w:val="22"/>
              </w:rPr>
              <w:t xml:space="preserve">predicted </w:t>
            </w:r>
            <w:r w:rsidRPr="006A105E">
              <w:rPr>
                <w:sz w:val="22"/>
                <w:szCs w:val="22"/>
              </w:rPr>
              <w:t xml:space="preserve">FEV1), anthropomorphic data (height, </w:t>
            </w:r>
            <w:proofErr w:type="gramStart"/>
            <w:r w:rsidRPr="006A105E">
              <w:rPr>
                <w:sz w:val="22"/>
                <w:szCs w:val="22"/>
              </w:rPr>
              <w:t>weight</w:t>
            </w:r>
            <w:proofErr w:type="gramEnd"/>
            <w:r w:rsidR="00AE027F">
              <w:rPr>
                <w:sz w:val="22"/>
                <w:szCs w:val="22"/>
              </w:rPr>
              <w:t xml:space="preserve"> and </w:t>
            </w:r>
            <w:r w:rsidRPr="006A105E">
              <w:rPr>
                <w:sz w:val="22"/>
                <w:szCs w:val="22"/>
              </w:rPr>
              <w:t>BMI) and clinical data (number of hospitalisations</w:t>
            </w:r>
            <w:r w:rsidR="00BF7574">
              <w:rPr>
                <w:sz w:val="22"/>
                <w:szCs w:val="22"/>
              </w:rPr>
              <w:t xml:space="preserve"> for pulmonary exacerbations</w:t>
            </w:r>
            <w:r w:rsidRPr="006A105E">
              <w:rPr>
                <w:sz w:val="22"/>
                <w:szCs w:val="22"/>
              </w:rPr>
              <w:t>, sputum</w:t>
            </w:r>
            <w:r w:rsidR="006059E6" w:rsidRPr="006A105E">
              <w:rPr>
                <w:sz w:val="22"/>
                <w:szCs w:val="22"/>
              </w:rPr>
              <w:t xml:space="preserve"> </w:t>
            </w:r>
            <w:r w:rsidR="00BF7574">
              <w:rPr>
                <w:sz w:val="22"/>
                <w:szCs w:val="22"/>
              </w:rPr>
              <w:t>microbiology</w:t>
            </w:r>
            <w:r w:rsidR="006059E6" w:rsidRPr="006A105E">
              <w:rPr>
                <w:sz w:val="22"/>
                <w:szCs w:val="22"/>
              </w:rPr>
              <w:t xml:space="preserve"> profile </w:t>
            </w:r>
            <w:r w:rsidRPr="006A105E">
              <w:rPr>
                <w:sz w:val="22"/>
                <w:szCs w:val="22"/>
              </w:rPr>
              <w:t>and liver function</w:t>
            </w:r>
            <w:r w:rsidR="00AE027F">
              <w:rPr>
                <w:sz w:val="22"/>
                <w:szCs w:val="22"/>
              </w:rPr>
              <w:t xml:space="preserve"> results</w:t>
            </w:r>
            <w:r w:rsidRPr="006A105E">
              <w:rPr>
                <w:sz w:val="22"/>
                <w:szCs w:val="22"/>
              </w:rPr>
              <w:t xml:space="preserve">). </w:t>
            </w:r>
          </w:p>
          <w:p w14:paraId="0F9741FF" w14:textId="77777777" w:rsidR="00AE027F" w:rsidRDefault="00AE027F">
            <w:pPr>
              <w:pStyle w:val="Pa12"/>
            </w:pPr>
          </w:p>
          <w:p w14:paraId="6BF3F094" w14:textId="3929B1D0" w:rsidR="001564A4" w:rsidRPr="006A105E" w:rsidRDefault="001564A4">
            <w:pPr>
              <w:pStyle w:val="Pa12"/>
              <w:rPr>
                <w:rStyle w:val="A4"/>
                <w:b/>
                <w:bCs/>
              </w:rPr>
            </w:pPr>
            <w:r w:rsidRPr="006A105E">
              <w:rPr>
                <w:rStyle w:val="A4"/>
                <w:b/>
                <w:bCs/>
              </w:rPr>
              <w:t xml:space="preserve">Results: </w:t>
            </w:r>
          </w:p>
          <w:p w14:paraId="18F77515" w14:textId="20555550" w:rsidR="001564A4" w:rsidRPr="006A105E" w:rsidRDefault="00C20B8B" w:rsidP="00CC1117">
            <w:pPr>
              <w:pStyle w:val="Default"/>
              <w:rPr>
                <w:sz w:val="22"/>
                <w:szCs w:val="22"/>
              </w:rPr>
            </w:pPr>
            <w:r w:rsidRPr="006A105E">
              <w:rPr>
                <w:sz w:val="22"/>
                <w:szCs w:val="22"/>
              </w:rPr>
              <w:t xml:space="preserve">39 patients </w:t>
            </w:r>
            <w:r w:rsidR="00E05E2C">
              <w:rPr>
                <w:sz w:val="22"/>
                <w:szCs w:val="22"/>
              </w:rPr>
              <w:t>commenced Trikafta</w:t>
            </w:r>
            <w:r w:rsidRPr="006A105E">
              <w:rPr>
                <w:sz w:val="22"/>
                <w:szCs w:val="22"/>
              </w:rPr>
              <w:t xml:space="preserve"> </w:t>
            </w:r>
            <w:r w:rsidR="00E05E2C">
              <w:rPr>
                <w:sz w:val="22"/>
                <w:szCs w:val="22"/>
              </w:rPr>
              <w:t xml:space="preserve">and </w:t>
            </w:r>
            <w:r w:rsidR="00BF7574">
              <w:rPr>
                <w:sz w:val="22"/>
                <w:szCs w:val="22"/>
              </w:rPr>
              <w:t xml:space="preserve">had </w:t>
            </w:r>
            <w:r w:rsidR="006A105E" w:rsidRPr="006A105E">
              <w:rPr>
                <w:sz w:val="22"/>
                <w:szCs w:val="22"/>
              </w:rPr>
              <w:t xml:space="preserve">completed </w:t>
            </w:r>
            <w:r w:rsidR="006A105E">
              <w:rPr>
                <w:sz w:val="22"/>
                <w:szCs w:val="22"/>
              </w:rPr>
              <w:t xml:space="preserve">regular </w:t>
            </w:r>
            <w:r w:rsidR="006A105E" w:rsidRPr="006A105E">
              <w:rPr>
                <w:sz w:val="22"/>
                <w:szCs w:val="22"/>
              </w:rPr>
              <w:t>pulmonary function testing</w:t>
            </w:r>
            <w:r w:rsidR="00E05E2C">
              <w:rPr>
                <w:sz w:val="22"/>
                <w:szCs w:val="22"/>
              </w:rPr>
              <w:t xml:space="preserve"> throughout the study period</w:t>
            </w:r>
            <w:r w:rsidR="006A105E" w:rsidRPr="006A105E">
              <w:rPr>
                <w:sz w:val="22"/>
                <w:szCs w:val="22"/>
              </w:rPr>
              <w:t xml:space="preserve">. </w:t>
            </w:r>
            <w:r w:rsidRPr="006A105E">
              <w:rPr>
                <w:sz w:val="22"/>
                <w:szCs w:val="22"/>
              </w:rPr>
              <w:t>The average age at initiation was 15.12</w:t>
            </w:r>
            <w:r w:rsidR="004112E5">
              <w:rPr>
                <w:sz w:val="22"/>
                <w:szCs w:val="22"/>
              </w:rPr>
              <w:t xml:space="preserve"> years</w:t>
            </w:r>
            <w:r w:rsidRPr="006A105E">
              <w:rPr>
                <w:sz w:val="22"/>
                <w:szCs w:val="22"/>
              </w:rPr>
              <w:t xml:space="preserve">. 16 patients (41%) were F508del </w:t>
            </w:r>
            <w:r w:rsidR="006A105E" w:rsidRPr="006A105E">
              <w:rPr>
                <w:sz w:val="22"/>
                <w:szCs w:val="22"/>
              </w:rPr>
              <w:t xml:space="preserve">homozygous and 23 (59%) were F508del heterozygous. </w:t>
            </w:r>
            <w:r w:rsidRPr="006A105E">
              <w:rPr>
                <w:sz w:val="22"/>
                <w:szCs w:val="22"/>
              </w:rPr>
              <w:t>The mean predicted FEV1 at baseline was 90.82</w:t>
            </w:r>
            <w:r w:rsidR="006A105E" w:rsidRPr="006A105E">
              <w:rPr>
                <w:sz w:val="22"/>
                <w:szCs w:val="22"/>
              </w:rPr>
              <w:t>%</w:t>
            </w:r>
            <w:r w:rsidRPr="006A105E">
              <w:rPr>
                <w:sz w:val="22"/>
                <w:szCs w:val="22"/>
              </w:rPr>
              <w:t xml:space="preserve">. </w:t>
            </w:r>
            <w:r w:rsidR="00BF7574">
              <w:rPr>
                <w:sz w:val="22"/>
                <w:szCs w:val="22"/>
              </w:rPr>
              <w:t>There was an increase in the percent p</w:t>
            </w:r>
            <w:r w:rsidRPr="006A105E">
              <w:rPr>
                <w:sz w:val="22"/>
                <w:szCs w:val="22"/>
              </w:rPr>
              <w:t>redicted FEV1 at 3, 6, 9 and 12 months from baseline of 3.21</w:t>
            </w:r>
            <w:r w:rsidR="006A105E" w:rsidRPr="006A105E">
              <w:rPr>
                <w:sz w:val="22"/>
                <w:szCs w:val="22"/>
              </w:rPr>
              <w:t>%</w:t>
            </w:r>
            <w:r w:rsidRPr="006A105E">
              <w:rPr>
                <w:sz w:val="22"/>
                <w:szCs w:val="22"/>
              </w:rPr>
              <w:t>, 4.57</w:t>
            </w:r>
            <w:r w:rsidR="006A105E" w:rsidRPr="006A105E">
              <w:rPr>
                <w:sz w:val="22"/>
                <w:szCs w:val="22"/>
              </w:rPr>
              <w:t>%</w:t>
            </w:r>
            <w:r w:rsidRPr="006A105E">
              <w:rPr>
                <w:sz w:val="22"/>
                <w:szCs w:val="22"/>
              </w:rPr>
              <w:t>, 4.63</w:t>
            </w:r>
            <w:r w:rsidR="006A105E" w:rsidRPr="006A105E">
              <w:rPr>
                <w:sz w:val="22"/>
                <w:szCs w:val="22"/>
              </w:rPr>
              <w:t>%</w:t>
            </w:r>
            <w:r w:rsidRPr="006A105E">
              <w:rPr>
                <w:sz w:val="22"/>
                <w:szCs w:val="22"/>
              </w:rPr>
              <w:t xml:space="preserve"> and 4.28</w:t>
            </w:r>
            <w:r w:rsidR="006A105E" w:rsidRPr="006A105E">
              <w:rPr>
                <w:sz w:val="22"/>
                <w:szCs w:val="22"/>
              </w:rPr>
              <w:t>%</w:t>
            </w:r>
            <w:r w:rsidRPr="006A105E">
              <w:rPr>
                <w:sz w:val="22"/>
                <w:szCs w:val="22"/>
              </w:rPr>
              <w:t xml:space="preserve"> respectively. </w:t>
            </w:r>
            <w:r w:rsidR="00BA3C73">
              <w:rPr>
                <w:sz w:val="22"/>
                <w:szCs w:val="22"/>
              </w:rPr>
              <w:t>The mean BMI at baseline was 20.55kg/m</w:t>
            </w:r>
            <w:r w:rsidR="00BA3C73" w:rsidRPr="00AE027F">
              <w:rPr>
                <w:sz w:val="22"/>
                <w:szCs w:val="22"/>
                <w:vertAlign w:val="superscript"/>
              </w:rPr>
              <w:t>2</w:t>
            </w:r>
            <w:r w:rsidR="00BA3C73">
              <w:rPr>
                <w:sz w:val="22"/>
                <w:szCs w:val="22"/>
              </w:rPr>
              <w:t xml:space="preserve">. </w:t>
            </w:r>
            <w:r w:rsidR="00BF7574">
              <w:rPr>
                <w:sz w:val="22"/>
                <w:szCs w:val="22"/>
              </w:rPr>
              <w:t>There was an increase in the m</w:t>
            </w:r>
            <w:r w:rsidR="00BA3C73">
              <w:rPr>
                <w:sz w:val="22"/>
                <w:szCs w:val="22"/>
              </w:rPr>
              <w:t>ean BMI at 3, 6, 9 and 12 months</w:t>
            </w:r>
            <w:r w:rsidR="00BF7574">
              <w:rPr>
                <w:sz w:val="22"/>
                <w:szCs w:val="22"/>
              </w:rPr>
              <w:t xml:space="preserve"> from</w:t>
            </w:r>
            <w:r w:rsidR="00BA3C73">
              <w:rPr>
                <w:sz w:val="22"/>
                <w:szCs w:val="22"/>
              </w:rPr>
              <w:t xml:space="preserve"> baseline of 0.72, 1.18, 0.54 and 1.16 respectively. </w:t>
            </w:r>
            <w:r w:rsidRPr="006A105E">
              <w:rPr>
                <w:sz w:val="22"/>
                <w:szCs w:val="22"/>
              </w:rPr>
              <w:t>Mean number of hospitalisations</w:t>
            </w:r>
            <w:r w:rsidR="00552B21">
              <w:rPr>
                <w:sz w:val="22"/>
                <w:szCs w:val="22"/>
              </w:rPr>
              <w:t xml:space="preserve"> per person</w:t>
            </w:r>
            <w:r w:rsidRPr="006A105E">
              <w:rPr>
                <w:sz w:val="22"/>
                <w:szCs w:val="22"/>
              </w:rPr>
              <w:t xml:space="preserve"> in the 12 months </w:t>
            </w:r>
            <w:r w:rsidR="00AE027F">
              <w:rPr>
                <w:sz w:val="22"/>
                <w:szCs w:val="22"/>
              </w:rPr>
              <w:t xml:space="preserve">before and after commencement of </w:t>
            </w:r>
            <w:r w:rsidR="006A105E" w:rsidRPr="006A105E">
              <w:rPr>
                <w:sz w:val="22"/>
                <w:szCs w:val="22"/>
              </w:rPr>
              <w:t>Trikafta</w:t>
            </w:r>
            <w:r w:rsidRPr="006A105E">
              <w:rPr>
                <w:sz w:val="22"/>
                <w:szCs w:val="22"/>
              </w:rPr>
              <w:t xml:space="preserve"> were 1.05 (range 0-4) </w:t>
            </w:r>
            <w:r w:rsidR="00AE027F">
              <w:rPr>
                <w:sz w:val="22"/>
                <w:szCs w:val="22"/>
              </w:rPr>
              <w:t>and</w:t>
            </w:r>
            <w:r w:rsidRPr="006A105E">
              <w:rPr>
                <w:sz w:val="22"/>
                <w:szCs w:val="22"/>
              </w:rPr>
              <w:t xml:space="preserve"> 0.44 (range 0-2)</w:t>
            </w:r>
            <w:r w:rsidR="00AE027F">
              <w:rPr>
                <w:sz w:val="22"/>
                <w:szCs w:val="22"/>
              </w:rPr>
              <w:t xml:space="preserve"> respectively</w:t>
            </w:r>
            <w:r w:rsidRPr="006A105E">
              <w:rPr>
                <w:sz w:val="22"/>
                <w:szCs w:val="22"/>
              </w:rPr>
              <w:t>.</w:t>
            </w:r>
            <w:r w:rsidR="006A105E" w:rsidRPr="006A105E">
              <w:rPr>
                <w:sz w:val="22"/>
                <w:szCs w:val="22"/>
              </w:rPr>
              <w:t xml:space="preserve"> </w:t>
            </w:r>
            <w:r w:rsidR="00937F2C" w:rsidRPr="006A105E">
              <w:rPr>
                <w:sz w:val="22"/>
                <w:szCs w:val="22"/>
              </w:rPr>
              <w:t xml:space="preserve">Further data to be </w:t>
            </w:r>
            <w:r w:rsidR="00BF7574">
              <w:rPr>
                <w:sz w:val="22"/>
                <w:szCs w:val="22"/>
              </w:rPr>
              <w:t>presented.</w:t>
            </w:r>
          </w:p>
          <w:p w14:paraId="68537800" w14:textId="77777777" w:rsidR="001564A4" w:rsidRPr="006A105E" w:rsidRDefault="001564A4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Pr="006A105E" w:rsidRDefault="001564A4">
            <w:pPr>
              <w:pStyle w:val="Pa12"/>
              <w:rPr>
                <w:rStyle w:val="A4"/>
                <w:b/>
                <w:bCs/>
              </w:rPr>
            </w:pPr>
            <w:r w:rsidRPr="006A105E">
              <w:rPr>
                <w:rStyle w:val="A4"/>
                <w:b/>
                <w:bCs/>
              </w:rPr>
              <w:t xml:space="preserve">Conclusion: </w:t>
            </w:r>
          </w:p>
          <w:p w14:paraId="196E7BAC" w14:textId="677C1FA1" w:rsidR="001564A4" w:rsidRPr="006A105E" w:rsidRDefault="00CC1117" w:rsidP="00CC1117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Our </w:t>
            </w:r>
            <w:r w:rsidR="00937F2C" w:rsidRPr="006A105E">
              <w:rPr>
                <w:sz w:val="22"/>
                <w:szCs w:val="22"/>
              </w:rPr>
              <w:t>preliminary results indicate that patients have demonstrated an improvement in lung function</w:t>
            </w:r>
            <w:r w:rsidR="006A105E">
              <w:rPr>
                <w:sz w:val="22"/>
                <w:szCs w:val="22"/>
              </w:rPr>
              <w:t xml:space="preserve">, </w:t>
            </w:r>
            <w:proofErr w:type="gramStart"/>
            <w:r w:rsidR="006A105E">
              <w:rPr>
                <w:sz w:val="22"/>
                <w:szCs w:val="22"/>
              </w:rPr>
              <w:t>BMI</w:t>
            </w:r>
            <w:proofErr w:type="gramEnd"/>
            <w:r w:rsidR="006A105E">
              <w:rPr>
                <w:sz w:val="22"/>
                <w:szCs w:val="22"/>
              </w:rPr>
              <w:t xml:space="preserve"> </w:t>
            </w:r>
            <w:r w:rsidR="00937F2C" w:rsidRPr="006A105E">
              <w:rPr>
                <w:sz w:val="22"/>
                <w:szCs w:val="22"/>
              </w:rPr>
              <w:t xml:space="preserve">and </w:t>
            </w:r>
            <w:r w:rsidR="00AE027F">
              <w:rPr>
                <w:sz w:val="22"/>
                <w:szCs w:val="22"/>
              </w:rPr>
              <w:t>number of</w:t>
            </w:r>
            <w:r w:rsidR="00937F2C" w:rsidRPr="006A105E">
              <w:rPr>
                <w:sz w:val="22"/>
                <w:szCs w:val="22"/>
              </w:rPr>
              <w:t xml:space="preserve"> hospitalisations</w:t>
            </w:r>
            <w:r w:rsidR="006A105E">
              <w:rPr>
                <w:sz w:val="22"/>
                <w:szCs w:val="22"/>
              </w:rPr>
              <w:t xml:space="preserve"> since commencing Trikafta. </w:t>
            </w:r>
            <w:r w:rsidR="001564A4" w:rsidRPr="006A105E">
              <w:rPr>
                <w:rStyle w:val="A4"/>
                <w:bCs/>
              </w:rPr>
              <w:br/>
            </w:r>
          </w:p>
          <w:p w14:paraId="3E8B4283" w14:textId="77777777" w:rsidR="001564A4" w:rsidRPr="006A105E" w:rsidRDefault="001564A4">
            <w:pPr>
              <w:pStyle w:val="Pa12"/>
              <w:rPr>
                <w:rStyle w:val="A4"/>
                <w:b/>
                <w:bCs/>
              </w:rPr>
            </w:pPr>
            <w:r w:rsidRPr="006A105E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516103E4" w:rsidR="001564A4" w:rsidRPr="006A105E" w:rsidRDefault="006A105E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</w:t>
            </w:r>
            <w:r w:rsidR="00D740FC">
              <w:rPr>
                <w:sz w:val="22"/>
                <w:szCs w:val="22"/>
              </w:rPr>
              <w:t>l</w:t>
            </w:r>
            <w:r w:rsidR="001564A4" w:rsidRPr="006A105E">
              <w:rPr>
                <w:sz w:val="22"/>
                <w:szCs w:val="22"/>
              </w:rPr>
              <w:br/>
            </w:r>
            <w:r w:rsidR="001564A4" w:rsidRPr="006A105E">
              <w:rPr>
                <w:sz w:val="22"/>
                <w:szCs w:val="22"/>
              </w:rPr>
              <w:br/>
            </w:r>
            <w:r w:rsidR="001564A4" w:rsidRPr="006A105E">
              <w:rPr>
                <w:sz w:val="22"/>
                <w:szCs w:val="22"/>
              </w:rPr>
              <w:br/>
            </w:r>
            <w:r w:rsidR="001564A4" w:rsidRPr="006A105E">
              <w:rPr>
                <w:sz w:val="22"/>
                <w:szCs w:val="22"/>
              </w:rPr>
              <w:br/>
            </w:r>
            <w:r w:rsidR="001564A4" w:rsidRPr="006A105E">
              <w:rPr>
                <w:sz w:val="22"/>
                <w:szCs w:val="22"/>
              </w:rPr>
              <w:br/>
            </w:r>
          </w:p>
          <w:p w14:paraId="731CD908" w14:textId="77777777" w:rsidR="001564A4" w:rsidRPr="006A105E" w:rsidRDefault="001564A4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6A105E" w:rsidRDefault="001564A4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6A105E" w:rsidRDefault="001564A4">
            <w:pPr>
              <w:pStyle w:val="Pa12"/>
              <w:rPr>
                <w:rStyle w:val="A4"/>
                <w:bCs/>
              </w:rPr>
            </w:pPr>
            <w:r w:rsidRPr="006A105E">
              <w:rPr>
                <w:rStyle w:val="A4"/>
                <w:bCs/>
              </w:rPr>
              <w:br/>
            </w:r>
            <w:r w:rsidRPr="006A105E">
              <w:rPr>
                <w:rStyle w:val="A4"/>
                <w:bCs/>
              </w:rPr>
              <w:br/>
            </w:r>
            <w:r w:rsidRPr="006A105E">
              <w:rPr>
                <w:rStyle w:val="A4"/>
                <w:bCs/>
              </w:rPr>
              <w:br/>
            </w:r>
            <w:r w:rsidRPr="006A105E">
              <w:rPr>
                <w:rStyle w:val="A4"/>
                <w:bCs/>
              </w:rPr>
              <w:br/>
            </w:r>
            <w:r w:rsidRPr="006A105E">
              <w:rPr>
                <w:rStyle w:val="A4"/>
                <w:bCs/>
              </w:rPr>
              <w:br/>
            </w:r>
            <w:r w:rsidRPr="006A105E">
              <w:rPr>
                <w:rStyle w:val="A4"/>
                <w:bCs/>
              </w:rPr>
              <w:br/>
            </w:r>
            <w:r w:rsidRPr="006A105E">
              <w:rPr>
                <w:rStyle w:val="A4"/>
                <w:bCs/>
              </w:rPr>
              <w:br/>
            </w:r>
            <w:r w:rsidRPr="006A105E">
              <w:rPr>
                <w:rStyle w:val="A4"/>
                <w:bCs/>
              </w:rPr>
              <w:br/>
            </w:r>
            <w:r w:rsidRPr="006A105E">
              <w:rPr>
                <w:rStyle w:val="A4"/>
                <w:bCs/>
              </w:rPr>
              <w:br/>
            </w:r>
            <w:r w:rsidRPr="006A105E">
              <w:rPr>
                <w:rStyle w:val="A4"/>
                <w:bCs/>
              </w:rPr>
              <w:br/>
            </w:r>
            <w:r w:rsidRPr="006A105E">
              <w:rPr>
                <w:rStyle w:val="A4"/>
                <w:bCs/>
              </w:rPr>
              <w:br/>
            </w:r>
          </w:p>
          <w:p w14:paraId="14DC37E4" w14:textId="77777777" w:rsidR="001564A4" w:rsidRPr="006A105E" w:rsidRDefault="001564A4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6A105E" w:rsidRDefault="001564A4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  <w:r w:rsidRPr="006A105E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05781" w14:textId="77777777" w:rsidR="00E22552" w:rsidRDefault="00E22552" w:rsidP="00937F2C">
      <w:r>
        <w:separator/>
      </w:r>
    </w:p>
  </w:endnote>
  <w:endnote w:type="continuationSeparator" w:id="0">
    <w:p w14:paraId="6C08A9B9" w14:textId="77777777" w:rsidR="00E22552" w:rsidRDefault="00E22552" w:rsidP="0093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D339" w14:textId="02834EE1" w:rsidR="00937F2C" w:rsidRDefault="00C20B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37EC11" wp14:editId="29B43C8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AB9E7" w14:textId="537AC15D" w:rsidR="00937F2C" w:rsidRPr="00937F2C" w:rsidRDefault="00937F2C" w:rsidP="00937F2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37F2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7EC1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" filled="f" stroked="f">
              <v:textbox style="mso-fit-shape-to-text:t" inset="0,0,0,15pt">
                <w:txbxContent>
                  <w:p w14:paraId="61BAB9E7" w14:textId="537AC15D" w:rsidR="00937F2C" w:rsidRPr="00937F2C" w:rsidRDefault="00937F2C" w:rsidP="00937F2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37F2C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112C" w14:textId="2780482C" w:rsidR="00937F2C" w:rsidRDefault="00C20B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41DEE91" wp14:editId="7543076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F551D" w14:textId="42611087" w:rsidR="00937F2C" w:rsidRPr="00937F2C" w:rsidRDefault="00937F2C" w:rsidP="00937F2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37F2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DEE9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34.95pt;height:34.95pt;z-index:251661312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" filled="f" stroked="f">
              <v:textbox style="mso-fit-shape-to-text:t" inset="0,0,0,15pt">
                <w:txbxContent>
                  <w:p w14:paraId="55AF551D" w14:textId="42611087" w:rsidR="00937F2C" w:rsidRPr="00937F2C" w:rsidRDefault="00937F2C" w:rsidP="00937F2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37F2C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6189" w14:textId="77777777" w:rsidR="00E22552" w:rsidRDefault="00E22552" w:rsidP="00937F2C">
      <w:r>
        <w:separator/>
      </w:r>
    </w:p>
  </w:footnote>
  <w:footnote w:type="continuationSeparator" w:id="0">
    <w:p w14:paraId="4C7DEC51" w14:textId="77777777" w:rsidR="00E22552" w:rsidRDefault="00E22552" w:rsidP="0093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3181" w14:textId="11F2B5E9" w:rsidR="00937F2C" w:rsidRDefault="00C20B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66D53B" wp14:editId="26CFEE3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E3D40" w14:textId="1630A841" w:rsidR="00937F2C" w:rsidRPr="00937F2C" w:rsidRDefault="00937F2C" w:rsidP="00937F2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37F2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6D53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" filled="f" stroked="f">
              <v:textbox style="mso-fit-shape-to-text:t" inset="0,15pt,0,0">
                <w:txbxContent>
                  <w:p w14:paraId="6E6E3D40" w14:textId="1630A841" w:rsidR="00937F2C" w:rsidRPr="00937F2C" w:rsidRDefault="00937F2C" w:rsidP="00937F2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37F2C">
                      <w:rPr>
                        <w:rFonts w:ascii="Arial" w:eastAsia="Arial" w:hAnsi="Arial" w:cs="Arial"/>
                        <w:noProof/>
                        <w:color w:val="A8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1730" w14:textId="4134C0E4" w:rsidR="00937F2C" w:rsidRDefault="00C20B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9B512D" wp14:editId="3BEAFE9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01FAD" w14:textId="06AC1BD3" w:rsidR="00937F2C" w:rsidRPr="00937F2C" w:rsidRDefault="00937F2C" w:rsidP="00937F2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37F2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B512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" filled="f" stroked="f">
              <v:textbox style="mso-fit-shape-to-text:t" inset="0,15pt,0,0">
                <w:txbxContent>
                  <w:p w14:paraId="54601FAD" w14:textId="06AC1BD3" w:rsidR="00937F2C" w:rsidRPr="00937F2C" w:rsidRDefault="00937F2C" w:rsidP="00937F2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37F2C">
                      <w:rPr>
                        <w:rFonts w:ascii="Arial" w:eastAsia="Arial" w:hAnsi="Arial" w:cs="Arial"/>
                        <w:noProof/>
                        <w:color w:val="A8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597C"/>
    <w:multiLevelType w:val="hybridMultilevel"/>
    <w:tmpl w:val="1826C878"/>
    <w:lvl w:ilvl="0" w:tplc="3B686C6E">
      <w:start w:val="1"/>
      <w:numFmt w:val="decimal"/>
      <w:lvlText w:val="%1-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9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4112E5"/>
    <w:rsid w:val="0051574E"/>
    <w:rsid w:val="00552B21"/>
    <w:rsid w:val="005652D4"/>
    <w:rsid w:val="00594458"/>
    <w:rsid w:val="006059E6"/>
    <w:rsid w:val="006827D0"/>
    <w:rsid w:val="006A105E"/>
    <w:rsid w:val="006F174F"/>
    <w:rsid w:val="00800E8D"/>
    <w:rsid w:val="008803FA"/>
    <w:rsid w:val="00937F2C"/>
    <w:rsid w:val="00AE027F"/>
    <w:rsid w:val="00B12E32"/>
    <w:rsid w:val="00B24D1E"/>
    <w:rsid w:val="00B81990"/>
    <w:rsid w:val="00BA3C73"/>
    <w:rsid w:val="00BF7574"/>
    <w:rsid w:val="00C20B8B"/>
    <w:rsid w:val="00CC1117"/>
    <w:rsid w:val="00D740FC"/>
    <w:rsid w:val="00DB2F76"/>
    <w:rsid w:val="00E05E2C"/>
    <w:rsid w:val="00E0700F"/>
    <w:rsid w:val="00E22552"/>
    <w:rsid w:val="00E5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503087"/>
  <w15:docId w15:val="{3B2DFFFC-07A1-4CE6-9399-FCF86124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937F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F2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7F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F2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20B8B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cf00fa0-74e1-4757-91bb-dfa2825f8d15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Johnston, James (Health)</cp:lastModifiedBy>
  <cp:revision>2</cp:revision>
  <dcterms:created xsi:type="dcterms:W3CDTF">2023-10-19T05:46:00Z</dcterms:created>
  <dcterms:modified xsi:type="dcterms:W3CDTF">2023-10-19T05:46:00Z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#a80000,12,arial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4,5,6</vt:lpwstr>
  </property>
  <property fmtid="{D5CDD505-2E9C-101B-9397-08002B2CF9AE}" pid="8" name="ClassificationContentMarkingFooterFontProps">
    <vt:lpwstr>#a80000,12,arial</vt:lpwstr>
  </property>
  <property fmtid="{D5CDD505-2E9C-101B-9397-08002B2CF9AE}" pid="9" name="ClassificationContentMarkingFooterText">
    <vt:lpwstr>UNOFFICIAL </vt:lpwstr>
  </property>
</Properties>
</file>