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18CC" w14:paraId="379958C5" w14:textId="77777777" w:rsidTr="007B18AB">
        <w:trPr>
          <w:trHeight w:val="567"/>
        </w:trPr>
        <w:tc>
          <w:tcPr>
            <w:tcW w:w="9016" w:type="dxa"/>
            <w:vAlign w:val="center"/>
          </w:tcPr>
          <w:p w14:paraId="06925A28" w14:textId="0989757E" w:rsidR="005D18CC" w:rsidRPr="002F4D9A" w:rsidRDefault="00641B34" w:rsidP="002F4D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Multiple Breath Nitrogen Washout provides mechanistic insight into PCD</w:t>
            </w:r>
            <w:r w:rsidR="006253C8" w:rsidRPr="002F4D9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D18CC" w14:paraId="465580D8" w14:textId="77777777" w:rsidTr="007B18AB">
        <w:trPr>
          <w:trHeight w:val="397"/>
        </w:trPr>
        <w:tc>
          <w:tcPr>
            <w:tcW w:w="9016" w:type="dxa"/>
            <w:vAlign w:val="center"/>
          </w:tcPr>
          <w:p w14:paraId="10EF45CD" w14:textId="3C52DED8" w:rsidR="005D18CC" w:rsidRPr="002F4D9A" w:rsidRDefault="005D18CC" w:rsidP="002F4D9A">
            <w:pPr>
              <w:rPr>
                <w:rFonts w:ascii="Arial" w:hAnsi="Arial" w:cs="Arial"/>
              </w:rPr>
            </w:pPr>
            <w:r w:rsidRPr="002F4D9A">
              <w:rPr>
                <w:rFonts w:ascii="Arial" w:hAnsi="Arial" w:cs="Arial"/>
              </w:rPr>
              <w:t>Caoimhe M Tierney</w:t>
            </w:r>
            <w:r w:rsidRPr="002F4D9A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1</w:t>
            </w:r>
            <w:r w:rsidRPr="002F4D9A">
              <w:rPr>
                <w:rFonts w:ascii="Arial" w:hAnsi="Arial" w:cs="Arial"/>
              </w:rPr>
              <w:t xml:space="preserve">, Lucy </w:t>
            </w:r>
            <w:r w:rsidR="00670BD2">
              <w:rPr>
                <w:rFonts w:ascii="Arial" w:hAnsi="Arial" w:cs="Arial"/>
              </w:rPr>
              <w:t>C</w:t>
            </w:r>
            <w:r w:rsidRPr="002F4D9A">
              <w:rPr>
                <w:rFonts w:ascii="Arial" w:hAnsi="Arial" w:cs="Arial"/>
              </w:rPr>
              <w:t xml:space="preserve"> Morgan</w:t>
            </w:r>
            <w:r w:rsidRPr="002F4D9A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1, 2</w:t>
            </w:r>
            <w:r w:rsidRPr="002F4D9A">
              <w:rPr>
                <w:rFonts w:ascii="Arial" w:hAnsi="Arial" w:cs="Arial"/>
              </w:rPr>
              <w:t>, Megan Fro</w:t>
            </w:r>
            <w:r w:rsidR="002534B4">
              <w:rPr>
                <w:rFonts w:ascii="Arial" w:hAnsi="Arial" w:cs="Arial"/>
              </w:rPr>
              <w:t>h</w:t>
            </w:r>
            <w:r w:rsidRPr="002F4D9A">
              <w:rPr>
                <w:rFonts w:ascii="Arial" w:hAnsi="Arial" w:cs="Arial"/>
              </w:rPr>
              <w:t>lich</w:t>
            </w:r>
            <w:r w:rsidR="007E75D9" w:rsidRPr="002F4D9A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3</w:t>
            </w:r>
            <w:r w:rsidR="00B87547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, 4</w:t>
            </w:r>
            <w:r w:rsidRPr="002F4D9A">
              <w:rPr>
                <w:rFonts w:ascii="Arial" w:hAnsi="Arial" w:cs="Arial"/>
              </w:rPr>
              <w:t xml:space="preserve">, Kate </w:t>
            </w:r>
            <w:r w:rsidR="002534B4">
              <w:rPr>
                <w:rFonts w:ascii="Arial" w:hAnsi="Arial" w:cs="Arial"/>
              </w:rPr>
              <w:t xml:space="preserve">M </w:t>
            </w:r>
            <w:r w:rsidRPr="002F4D9A">
              <w:rPr>
                <w:rFonts w:ascii="Arial" w:hAnsi="Arial" w:cs="Arial"/>
              </w:rPr>
              <w:t>Dusano</w:t>
            </w:r>
            <w:r w:rsidR="005A35BE" w:rsidRPr="002F4D9A">
              <w:rPr>
                <w:rFonts w:ascii="Arial" w:hAnsi="Arial" w:cs="Arial"/>
              </w:rPr>
              <w:t>v</w:t>
            </w:r>
            <w:r w:rsidRPr="002F4D9A">
              <w:rPr>
                <w:rFonts w:ascii="Arial" w:hAnsi="Arial" w:cs="Arial"/>
              </w:rPr>
              <w:t>ski</w:t>
            </w:r>
            <w:r w:rsidRPr="002F4D9A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1</w:t>
            </w:r>
          </w:p>
        </w:tc>
      </w:tr>
      <w:tr w:rsidR="005D18CC" w14:paraId="0ACD90FC" w14:textId="77777777" w:rsidTr="007B18AB">
        <w:tc>
          <w:tcPr>
            <w:tcW w:w="9016" w:type="dxa"/>
            <w:vAlign w:val="center"/>
          </w:tcPr>
          <w:p w14:paraId="1C91E056" w14:textId="77777777" w:rsidR="005D18CC" w:rsidRPr="002F4D9A" w:rsidRDefault="005D18CC" w:rsidP="00A16C6B">
            <w:pPr>
              <w:rPr>
                <w:rFonts w:ascii="Arial" w:eastAsia="Arial" w:hAnsi="Arial" w:cs="Arial"/>
                <w:i/>
                <w:iCs/>
                <w:lang w:val="en-US"/>
              </w:rPr>
            </w:pPr>
            <w:r w:rsidRPr="002F4D9A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1</w:t>
            </w:r>
            <w:r w:rsidRPr="002F4D9A">
              <w:rPr>
                <w:rFonts w:ascii="Arial" w:eastAsia="Arial" w:hAnsi="Arial" w:cs="Arial"/>
                <w:i/>
                <w:iCs/>
                <w:lang w:val="en-US"/>
              </w:rPr>
              <w:t>Department of Thoracic Medicine, Concord Repatriation General Hospital, Sydney, Australia</w:t>
            </w:r>
          </w:p>
          <w:p w14:paraId="793730DD" w14:textId="7020EA0A" w:rsidR="005D18CC" w:rsidRPr="002F4D9A" w:rsidRDefault="005D18CC" w:rsidP="00A16C6B">
            <w:pPr>
              <w:rPr>
                <w:rFonts w:ascii="Arial" w:eastAsia="Arial" w:hAnsi="Arial" w:cs="Arial"/>
                <w:i/>
                <w:iCs/>
                <w:lang w:val="en-US"/>
              </w:rPr>
            </w:pPr>
            <w:r w:rsidRPr="002F4D9A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2</w:t>
            </w:r>
            <w:r w:rsidR="009A5619" w:rsidRPr="002F4D9A">
              <w:rPr>
                <w:rFonts w:ascii="Arial" w:eastAsia="Arial" w:hAnsi="Arial" w:cs="Arial"/>
                <w:i/>
                <w:iCs/>
                <w:lang w:val="en-US"/>
              </w:rPr>
              <w:t>University of Sydney, Sydney, Australia</w:t>
            </w:r>
          </w:p>
          <w:p w14:paraId="46D55DE7" w14:textId="312CD541" w:rsidR="005D18CC" w:rsidRDefault="005D18CC" w:rsidP="00A16C6B">
            <w:pPr>
              <w:rPr>
                <w:rFonts w:ascii="Arial" w:eastAsia="Arial" w:hAnsi="Arial" w:cs="Arial"/>
                <w:i/>
                <w:iCs/>
                <w:lang w:val="en-US"/>
              </w:rPr>
            </w:pPr>
            <w:r w:rsidRPr="00BD69FF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3</w:t>
            </w:r>
            <w:r w:rsidR="00BD69FF">
              <w:rPr>
                <w:rFonts w:ascii="Arial" w:eastAsia="Arial" w:hAnsi="Arial" w:cs="Arial"/>
                <w:i/>
                <w:iCs/>
                <w:lang w:val="en-US"/>
              </w:rPr>
              <w:t xml:space="preserve">Respiratory Department, </w:t>
            </w:r>
            <w:r w:rsidRPr="00BD69FF">
              <w:rPr>
                <w:rFonts w:ascii="Arial" w:eastAsia="Arial" w:hAnsi="Arial" w:cs="Arial"/>
                <w:i/>
                <w:iCs/>
                <w:lang w:val="en-US"/>
              </w:rPr>
              <w:t>Sydney</w:t>
            </w:r>
            <w:r w:rsidRPr="002F4D9A">
              <w:rPr>
                <w:rFonts w:ascii="Arial" w:eastAsia="Arial" w:hAnsi="Arial" w:cs="Arial"/>
                <w:i/>
                <w:iCs/>
                <w:lang w:val="en-US"/>
              </w:rPr>
              <w:t xml:space="preserve"> Children’s Hospital, </w:t>
            </w:r>
            <w:r w:rsidR="00B87547">
              <w:rPr>
                <w:rFonts w:ascii="Arial" w:eastAsia="Arial" w:hAnsi="Arial" w:cs="Arial"/>
                <w:i/>
                <w:iCs/>
                <w:lang w:val="en-US"/>
              </w:rPr>
              <w:t>Randwick, NSW</w:t>
            </w:r>
            <w:r w:rsidRPr="002F4D9A">
              <w:rPr>
                <w:rFonts w:ascii="Arial" w:eastAsia="Arial" w:hAnsi="Arial" w:cs="Arial"/>
                <w:i/>
                <w:iCs/>
                <w:lang w:val="en-US"/>
              </w:rPr>
              <w:t>, Australia</w:t>
            </w:r>
          </w:p>
          <w:p w14:paraId="593CC139" w14:textId="7D6422A8" w:rsidR="00BD69FF" w:rsidRPr="00A16C6B" w:rsidRDefault="00BD69FF" w:rsidP="00A16C6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4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 xml:space="preserve">University of New South Wales, </w:t>
            </w:r>
            <w:r w:rsidR="00B87547">
              <w:rPr>
                <w:rFonts w:ascii="Arial" w:eastAsia="Arial" w:hAnsi="Arial" w:cs="Arial"/>
                <w:i/>
                <w:iCs/>
                <w:lang w:val="en-US"/>
              </w:rPr>
              <w:t>Kensington, NSW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, Australia</w:t>
            </w:r>
          </w:p>
        </w:tc>
      </w:tr>
      <w:tr w:rsidR="005D18CC" w14:paraId="29F0D546" w14:textId="77777777" w:rsidTr="005D18CC">
        <w:tc>
          <w:tcPr>
            <w:tcW w:w="9016" w:type="dxa"/>
          </w:tcPr>
          <w:p w14:paraId="108EDF9A" w14:textId="21CC31C1" w:rsidR="005D18CC" w:rsidRPr="002F4D9A" w:rsidRDefault="005D18CC" w:rsidP="002F4D9A">
            <w:pPr>
              <w:rPr>
                <w:rFonts w:ascii="Arial" w:hAnsi="Arial" w:cs="Arial"/>
                <w:b/>
                <w:bCs/>
              </w:rPr>
            </w:pPr>
            <w:r w:rsidRPr="002F4D9A">
              <w:rPr>
                <w:rFonts w:ascii="Arial" w:hAnsi="Arial" w:cs="Arial"/>
                <w:b/>
                <w:bCs/>
              </w:rPr>
              <w:t>Introduction:</w:t>
            </w:r>
            <w:r w:rsidR="0077066E" w:rsidRPr="002F4D9A">
              <w:rPr>
                <w:rFonts w:ascii="Arial" w:hAnsi="Arial" w:cs="Arial"/>
                <w:b/>
                <w:bCs/>
              </w:rPr>
              <w:t xml:space="preserve"> </w:t>
            </w:r>
            <w:r w:rsidR="00CF4AF6" w:rsidRPr="002F4D9A">
              <w:rPr>
                <w:rFonts w:ascii="Arial" w:hAnsi="Arial" w:cs="Arial"/>
                <w:shd w:val="clear" w:color="auto" w:fill="FFFFFF"/>
              </w:rPr>
              <w:t>Primary ciliary dyskinesia (PCD) is a rare disease in which patients have impaired mucociliary clearance and peripheral airway obstruction. Standard lung function tests have difficulty detecting impairment in small peripheral airways.</w:t>
            </w:r>
            <w:r w:rsidR="0067565C">
              <w:rPr>
                <w:rFonts w:ascii="Arial" w:hAnsi="Arial" w:cs="Arial"/>
                <w:shd w:val="clear" w:color="auto" w:fill="FFFFFF"/>
              </w:rPr>
              <w:t xml:space="preserve"> M</w:t>
            </w:r>
            <w:r w:rsidR="00CF4AF6" w:rsidRPr="002F4D9A">
              <w:rPr>
                <w:rFonts w:ascii="Arial" w:hAnsi="Arial" w:cs="Arial"/>
                <w:shd w:val="clear" w:color="auto" w:fill="FFFFFF"/>
              </w:rPr>
              <w:t xml:space="preserve">ultiple breath nitrogen washout (MBNW) is a sensitive measurement of ventilation inhomogeneity which may better detect </w:t>
            </w:r>
            <w:r w:rsidR="00CF6CC6">
              <w:rPr>
                <w:rFonts w:ascii="Arial" w:hAnsi="Arial" w:cs="Arial"/>
                <w:shd w:val="clear" w:color="auto" w:fill="FFFFFF"/>
              </w:rPr>
              <w:t>functional</w:t>
            </w:r>
            <w:r w:rsidR="00CF6CC6" w:rsidRPr="002F4D9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F4AF6" w:rsidRPr="002F4D9A">
              <w:rPr>
                <w:rFonts w:ascii="Arial" w:hAnsi="Arial" w:cs="Arial"/>
                <w:shd w:val="clear" w:color="auto" w:fill="FFFFFF"/>
              </w:rPr>
              <w:t>abnormalities in PCD. This study outlines the practical and clinical utility of performing MBNW</w:t>
            </w:r>
            <w:r w:rsidR="009E342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E0C4E">
              <w:rPr>
                <w:rFonts w:ascii="Arial" w:hAnsi="Arial" w:cs="Arial"/>
                <w:shd w:val="clear" w:color="auto" w:fill="FFFFFF"/>
              </w:rPr>
              <w:t xml:space="preserve">to quantify small airway disease </w:t>
            </w:r>
            <w:r w:rsidR="00BF3EFB">
              <w:rPr>
                <w:rFonts w:ascii="Arial" w:hAnsi="Arial" w:cs="Arial"/>
                <w:shd w:val="clear" w:color="auto" w:fill="FFFFFF"/>
              </w:rPr>
              <w:t xml:space="preserve">in </w:t>
            </w:r>
            <w:r w:rsidR="00303A0D">
              <w:rPr>
                <w:rFonts w:ascii="Arial" w:hAnsi="Arial" w:cs="Arial"/>
                <w:shd w:val="clear" w:color="auto" w:fill="FFFFFF"/>
              </w:rPr>
              <w:t>patients attending a</w:t>
            </w:r>
            <w:r w:rsidR="00CF4AF6" w:rsidRPr="002F4D9A">
              <w:rPr>
                <w:rFonts w:ascii="Arial" w:hAnsi="Arial" w:cs="Arial"/>
                <w:shd w:val="clear" w:color="auto" w:fill="FFFFFF"/>
              </w:rPr>
              <w:t xml:space="preserve"> ciliary function clinic.</w:t>
            </w:r>
          </w:p>
          <w:p w14:paraId="0CDD5A28" w14:textId="77777777" w:rsidR="005D18CC" w:rsidRPr="002F4D9A" w:rsidRDefault="005D18CC" w:rsidP="002F4D9A">
            <w:pPr>
              <w:rPr>
                <w:rFonts w:ascii="Arial" w:hAnsi="Arial" w:cs="Arial"/>
                <w:b/>
                <w:bCs/>
              </w:rPr>
            </w:pPr>
          </w:p>
          <w:p w14:paraId="7ACBF412" w14:textId="5D63720A" w:rsidR="005D18CC" w:rsidRPr="002F4D9A" w:rsidRDefault="005D18CC" w:rsidP="002F4D9A">
            <w:pPr>
              <w:rPr>
                <w:rFonts w:ascii="Arial" w:hAnsi="Arial" w:cs="Arial"/>
              </w:rPr>
            </w:pPr>
            <w:r w:rsidRPr="002F4D9A">
              <w:rPr>
                <w:rFonts w:ascii="Arial" w:hAnsi="Arial" w:cs="Arial"/>
                <w:b/>
                <w:bCs/>
              </w:rPr>
              <w:t>Methods:</w:t>
            </w:r>
            <w:r w:rsidR="002B6ADB" w:rsidRPr="002F4D9A">
              <w:rPr>
                <w:rFonts w:ascii="Arial" w:hAnsi="Arial" w:cs="Arial"/>
                <w:b/>
                <w:bCs/>
              </w:rPr>
              <w:t xml:space="preserve"> </w:t>
            </w:r>
            <w:r w:rsidR="00560FD2">
              <w:rPr>
                <w:rFonts w:ascii="Arial" w:hAnsi="Arial" w:cs="Arial"/>
              </w:rPr>
              <w:t>Patients</w:t>
            </w:r>
            <w:r w:rsidR="00EA5A0A">
              <w:rPr>
                <w:rFonts w:ascii="Arial" w:hAnsi="Arial" w:cs="Arial"/>
              </w:rPr>
              <w:t xml:space="preserve"> </w:t>
            </w:r>
            <w:r w:rsidR="009E342C">
              <w:rPr>
                <w:rFonts w:ascii="Arial" w:hAnsi="Arial" w:cs="Arial"/>
              </w:rPr>
              <w:t xml:space="preserve">over the age of </w:t>
            </w:r>
            <w:r w:rsidR="00645086">
              <w:rPr>
                <w:rFonts w:ascii="Arial" w:hAnsi="Arial" w:cs="Arial"/>
              </w:rPr>
              <w:t>8</w:t>
            </w:r>
            <w:r w:rsidR="009E342C">
              <w:rPr>
                <w:rFonts w:ascii="Arial" w:hAnsi="Arial" w:cs="Arial"/>
              </w:rPr>
              <w:t xml:space="preserve"> years </w:t>
            </w:r>
            <w:r w:rsidR="00EA5A0A">
              <w:rPr>
                <w:rFonts w:ascii="Arial" w:hAnsi="Arial" w:cs="Arial"/>
              </w:rPr>
              <w:t>performed MBNW</w:t>
            </w:r>
            <w:r w:rsidR="00560FD2">
              <w:rPr>
                <w:rFonts w:ascii="Arial" w:hAnsi="Arial" w:cs="Arial"/>
              </w:rPr>
              <w:t xml:space="preserve"> during </w:t>
            </w:r>
            <w:r w:rsidR="00EA5A0A">
              <w:rPr>
                <w:rFonts w:ascii="Arial" w:hAnsi="Arial" w:cs="Arial"/>
              </w:rPr>
              <w:t>a single</w:t>
            </w:r>
            <w:r w:rsidR="00560FD2">
              <w:rPr>
                <w:rFonts w:ascii="Arial" w:hAnsi="Arial" w:cs="Arial"/>
              </w:rPr>
              <w:t xml:space="preserve"> visit to our </w:t>
            </w:r>
            <w:r w:rsidR="00EA5A0A">
              <w:rPr>
                <w:rFonts w:ascii="Arial" w:hAnsi="Arial" w:cs="Arial"/>
              </w:rPr>
              <w:t>ciliary function</w:t>
            </w:r>
            <w:r w:rsidR="00560FD2">
              <w:rPr>
                <w:rFonts w:ascii="Arial" w:hAnsi="Arial" w:cs="Arial"/>
              </w:rPr>
              <w:t xml:space="preserve"> clinic</w:t>
            </w:r>
            <w:r w:rsidR="00EA5A0A">
              <w:rPr>
                <w:rFonts w:ascii="Arial" w:hAnsi="Arial" w:cs="Arial"/>
              </w:rPr>
              <w:t xml:space="preserve">, in addition to standard PCD diagnostic tests including nasal nitric oxide (nNO) (CLD </w:t>
            </w:r>
            <w:proofErr w:type="spellStart"/>
            <w:r w:rsidR="00EA5A0A">
              <w:rPr>
                <w:rFonts w:ascii="Arial" w:hAnsi="Arial" w:cs="Arial"/>
              </w:rPr>
              <w:t>88sp</w:t>
            </w:r>
            <w:proofErr w:type="spellEnd"/>
            <w:r w:rsidR="00EA5A0A">
              <w:rPr>
                <w:rFonts w:ascii="Arial" w:hAnsi="Arial" w:cs="Arial"/>
              </w:rPr>
              <w:t xml:space="preserve"> chemiluminescence analyser) and nasal brushings for </w:t>
            </w:r>
            <w:r w:rsidR="00A16C6B">
              <w:rPr>
                <w:rFonts w:ascii="Arial" w:hAnsi="Arial" w:cs="Arial"/>
              </w:rPr>
              <w:t>high-speed</w:t>
            </w:r>
            <w:r w:rsidR="00EA5A0A">
              <w:rPr>
                <w:rFonts w:ascii="Arial" w:hAnsi="Arial" w:cs="Arial"/>
              </w:rPr>
              <w:t xml:space="preserve"> video</w:t>
            </w:r>
            <w:r w:rsidR="00A16C6B">
              <w:rPr>
                <w:rFonts w:ascii="Arial" w:hAnsi="Arial" w:cs="Arial"/>
              </w:rPr>
              <w:t xml:space="preserve"> </w:t>
            </w:r>
            <w:r w:rsidR="00EA5A0A">
              <w:rPr>
                <w:rFonts w:ascii="Arial" w:hAnsi="Arial" w:cs="Arial"/>
              </w:rPr>
              <w:t>microscopy analysis of ciliary beat frequency and pattern, immunofluorescence and electron microscopy</w:t>
            </w:r>
            <w:r w:rsidR="00560FD2">
              <w:rPr>
                <w:rFonts w:ascii="Arial" w:hAnsi="Arial" w:cs="Arial"/>
              </w:rPr>
              <w:t xml:space="preserve">. </w:t>
            </w:r>
            <w:r w:rsidR="00A245AA">
              <w:rPr>
                <w:rFonts w:ascii="Arial" w:hAnsi="Arial" w:cs="Arial"/>
              </w:rPr>
              <w:t xml:space="preserve">MBNW was performed according to </w:t>
            </w:r>
            <w:r w:rsidR="00CD3DF1">
              <w:rPr>
                <w:rFonts w:ascii="Arial" w:hAnsi="Arial" w:cs="Arial"/>
              </w:rPr>
              <w:t>ATS/ERS</w:t>
            </w:r>
            <w:r w:rsidR="00A245AA">
              <w:rPr>
                <w:rFonts w:ascii="Arial" w:hAnsi="Arial" w:cs="Arial"/>
              </w:rPr>
              <w:t xml:space="preserve"> standards</w:t>
            </w:r>
            <w:r w:rsidR="00050420">
              <w:rPr>
                <w:rFonts w:ascii="Arial" w:hAnsi="Arial" w:cs="Arial"/>
              </w:rPr>
              <w:t xml:space="preserve"> (2013)</w:t>
            </w:r>
            <w:r w:rsidR="00A245AA">
              <w:rPr>
                <w:rFonts w:ascii="Arial" w:hAnsi="Arial" w:cs="Arial"/>
              </w:rPr>
              <w:t xml:space="preserve">. </w:t>
            </w:r>
            <w:r w:rsidR="007F7AE4" w:rsidRPr="002F4D9A">
              <w:rPr>
                <w:rFonts w:ascii="Arial" w:hAnsi="Arial" w:cs="Arial"/>
              </w:rPr>
              <w:t xml:space="preserve">After confirmation of </w:t>
            </w:r>
            <w:r w:rsidR="005D33BA">
              <w:rPr>
                <w:rFonts w:ascii="Arial" w:hAnsi="Arial" w:cs="Arial"/>
              </w:rPr>
              <w:t xml:space="preserve">PCD </w:t>
            </w:r>
            <w:r w:rsidR="007F7AE4" w:rsidRPr="002F4D9A">
              <w:rPr>
                <w:rFonts w:ascii="Arial" w:hAnsi="Arial" w:cs="Arial"/>
              </w:rPr>
              <w:t>diagnosis</w:t>
            </w:r>
            <w:r w:rsidR="007F7AE4" w:rsidRPr="007B7E3A">
              <w:rPr>
                <w:rFonts w:ascii="Arial" w:hAnsi="Arial" w:cs="Arial"/>
              </w:rPr>
              <w:t>,</w:t>
            </w:r>
            <w:r w:rsidR="007F7AE4" w:rsidRPr="00A16C6B">
              <w:rPr>
                <w:rFonts w:ascii="Arial" w:hAnsi="Arial" w:cs="Arial"/>
              </w:rPr>
              <w:t xml:space="preserve"> </w:t>
            </w:r>
            <w:r w:rsidR="00E23769" w:rsidRPr="00A16C6B">
              <w:rPr>
                <w:rFonts w:ascii="Arial" w:hAnsi="Arial" w:cs="Arial"/>
              </w:rPr>
              <w:t>the patient group was</w:t>
            </w:r>
            <w:r w:rsidR="00E23769">
              <w:rPr>
                <w:rFonts w:ascii="Arial" w:hAnsi="Arial" w:cs="Arial"/>
                <w:b/>
                <w:bCs/>
              </w:rPr>
              <w:t xml:space="preserve"> </w:t>
            </w:r>
            <w:r w:rsidR="00E23769">
              <w:rPr>
                <w:rFonts w:ascii="Arial" w:hAnsi="Arial" w:cs="Arial"/>
              </w:rPr>
              <w:t>divided</w:t>
            </w:r>
            <w:r w:rsidR="007F7AE4" w:rsidRPr="002F4D9A">
              <w:rPr>
                <w:rFonts w:ascii="Arial" w:hAnsi="Arial" w:cs="Arial"/>
              </w:rPr>
              <w:t xml:space="preserve"> into </w:t>
            </w:r>
            <w:r w:rsidR="00E23769">
              <w:rPr>
                <w:rFonts w:ascii="Arial" w:hAnsi="Arial" w:cs="Arial"/>
              </w:rPr>
              <w:t xml:space="preserve">those with </w:t>
            </w:r>
            <w:r w:rsidR="009E342C">
              <w:rPr>
                <w:rFonts w:ascii="Arial" w:hAnsi="Arial" w:cs="Arial"/>
              </w:rPr>
              <w:t xml:space="preserve">confirmed </w:t>
            </w:r>
            <w:r w:rsidR="007F7AE4" w:rsidRPr="002F4D9A">
              <w:rPr>
                <w:rFonts w:ascii="Arial" w:hAnsi="Arial" w:cs="Arial"/>
              </w:rPr>
              <w:t xml:space="preserve">PCD </w:t>
            </w:r>
            <w:r w:rsidR="00FA6017">
              <w:rPr>
                <w:rFonts w:ascii="Arial" w:hAnsi="Arial" w:cs="Arial"/>
              </w:rPr>
              <w:t>vs</w:t>
            </w:r>
            <w:r w:rsidR="00450668">
              <w:rPr>
                <w:rFonts w:ascii="Arial" w:hAnsi="Arial" w:cs="Arial"/>
              </w:rPr>
              <w:t xml:space="preserve"> non-</w:t>
            </w:r>
            <w:r w:rsidR="00E23769">
              <w:rPr>
                <w:rFonts w:ascii="Arial" w:hAnsi="Arial" w:cs="Arial"/>
              </w:rPr>
              <w:t>PCD</w:t>
            </w:r>
            <w:r w:rsidR="00450668">
              <w:rPr>
                <w:rFonts w:ascii="Arial" w:hAnsi="Arial" w:cs="Arial"/>
              </w:rPr>
              <w:t xml:space="preserve">. </w:t>
            </w:r>
            <w:r w:rsidR="00DB6A8D" w:rsidRPr="002F4D9A">
              <w:rPr>
                <w:rFonts w:ascii="Arial" w:hAnsi="Arial" w:cs="Arial"/>
              </w:rPr>
              <w:t>Statistical</w:t>
            </w:r>
            <w:r w:rsidR="007F7AE4" w:rsidRPr="002F4D9A">
              <w:rPr>
                <w:rFonts w:ascii="Arial" w:hAnsi="Arial" w:cs="Arial"/>
              </w:rPr>
              <w:t xml:space="preserve"> analysis of variables</w:t>
            </w:r>
            <w:r w:rsidR="00450668">
              <w:rPr>
                <w:rFonts w:ascii="Arial" w:hAnsi="Arial" w:cs="Arial"/>
              </w:rPr>
              <w:t xml:space="preserve"> between groups</w:t>
            </w:r>
            <w:r w:rsidR="007F7AE4" w:rsidRPr="002F4D9A">
              <w:rPr>
                <w:rFonts w:ascii="Arial" w:hAnsi="Arial" w:cs="Arial"/>
              </w:rPr>
              <w:t xml:space="preserve"> was c</w:t>
            </w:r>
            <w:r w:rsidR="00477E3C">
              <w:rPr>
                <w:rFonts w:ascii="Arial" w:hAnsi="Arial" w:cs="Arial"/>
              </w:rPr>
              <w:t>ompleted</w:t>
            </w:r>
            <w:r w:rsidR="005D33BA">
              <w:rPr>
                <w:rFonts w:ascii="Arial" w:hAnsi="Arial" w:cs="Arial"/>
              </w:rPr>
              <w:t xml:space="preserve"> using </w:t>
            </w:r>
            <w:r w:rsidR="00BF3EFB">
              <w:rPr>
                <w:rFonts w:ascii="Arial" w:hAnsi="Arial" w:cs="Arial"/>
              </w:rPr>
              <w:t xml:space="preserve">an </w:t>
            </w:r>
            <w:r w:rsidR="00E05873">
              <w:rPr>
                <w:rFonts w:ascii="Arial" w:hAnsi="Arial" w:cs="Arial"/>
              </w:rPr>
              <w:t>unpaired t-test.</w:t>
            </w:r>
          </w:p>
          <w:p w14:paraId="25FCFA4D" w14:textId="05200981" w:rsidR="005D18CC" w:rsidRPr="002F4D9A" w:rsidRDefault="00AA0BB7" w:rsidP="002F4D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</w:t>
            </w:r>
            <w:r w:rsidR="00202711">
              <w:rPr>
                <w:rFonts w:ascii="Arial" w:hAnsi="Arial" w:cs="Arial"/>
                <w:b/>
                <w:bCs/>
              </w:rPr>
              <w:t xml:space="preserve">                                </w:t>
            </w:r>
          </w:p>
          <w:p w14:paraId="3CEB311D" w14:textId="0E70029E" w:rsidR="005D18CC" w:rsidRDefault="005D18CC" w:rsidP="002F4D9A">
            <w:pPr>
              <w:rPr>
                <w:rFonts w:ascii="Arial" w:hAnsi="Arial" w:cs="Arial"/>
                <w:b/>
                <w:bCs/>
              </w:rPr>
            </w:pPr>
            <w:r w:rsidRPr="002F4D9A">
              <w:rPr>
                <w:rFonts w:ascii="Arial" w:hAnsi="Arial" w:cs="Arial"/>
                <w:b/>
                <w:bCs/>
              </w:rPr>
              <w:t>Results:</w:t>
            </w:r>
            <w:r w:rsidR="00024C90">
              <w:rPr>
                <w:rFonts w:ascii="Arial" w:hAnsi="Arial" w:cs="Arial"/>
                <w:b/>
                <w:bCs/>
              </w:rPr>
              <w:t xml:space="preserve"> </w:t>
            </w:r>
            <w:r w:rsidR="00A30A7D" w:rsidRPr="00A30A7D">
              <w:rPr>
                <w:rFonts w:ascii="Arial" w:hAnsi="Arial" w:cs="Arial"/>
              </w:rPr>
              <w:t>15</w:t>
            </w:r>
            <w:r w:rsidR="00A30A7D">
              <w:rPr>
                <w:rFonts w:ascii="Arial" w:hAnsi="Arial" w:cs="Arial"/>
              </w:rPr>
              <w:t xml:space="preserve"> p</w:t>
            </w:r>
            <w:r w:rsidR="009E342C">
              <w:rPr>
                <w:rFonts w:ascii="Arial" w:hAnsi="Arial" w:cs="Arial"/>
              </w:rPr>
              <w:t>atients</w:t>
            </w:r>
            <w:r w:rsidR="007E0C4E">
              <w:rPr>
                <w:rFonts w:ascii="Arial" w:hAnsi="Arial" w:cs="Arial"/>
              </w:rPr>
              <w:t xml:space="preserve"> </w:t>
            </w:r>
            <w:r w:rsidR="007B4864">
              <w:rPr>
                <w:rFonts w:ascii="Arial" w:hAnsi="Arial" w:cs="Arial"/>
              </w:rPr>
              <w:t xml:space="preserve">(mean age 28.7 ± 8.7) </w:t>
            </w:r>
            <w:r w:rsidR="007E0C4E">
              <w:rPr>
                <w:rFonts w:ascii="Arial" w:hAnsi="Arial" w:cs="Arial"/>
              </w:rPr>
              <w:t xml:space="preserve">attempted MBNW alongside their cilia function testing. </w:t>
            </w:r>
            <w:r w:rsidR="007B4864">
              <w:rPr>
                <w:rFonts w:ascii="Arial" w:hAnsi="Arial" w:cs="Arial"/>
              </w:rPr>
              <w:t>All</w:t>
            </w:r>
            <w:r w:rsidR="007E0C4E">
              <w:rPr>
                <w:rFonts w:ascii="Arial" w:hAnsi="Arial" w:cs="Arial"/>
              </w:rPr>
              <w:t xml:space="preserve"> patients achieved acceptable and reproducible results</w:t>
            </w:r>
            <w:r w:rsidR="009E342C">
              <w:rPr>
                <w:rFonts w:ascii="Arial" w:hAnsi="Arial" w:cs="Arial"/>
              </w:rPr>
              <w:t xml:space="preserve">. Patients with </w:t>
            </w:r>
            <w:r w:rsidR="007E0C4E">
              <w:rPr>
                <w:rFonts w:ascii="Arial" w:hAnsi="Arial" w:cs="Arial"/>
              </w:rPr>
              <w:t xml:space="preserve">confirmed </w:t>
            </w:r>
            <w:r w:rsidR="009E342C">
              <w:rPr>
                <w:rFonts w:ascii="Arial" w:hAnsi="Arial" w:cs="Arial"/>
              </w:rPr>
              <w:t xml:space="preserve">PCD had higher Sacin compared </w:t>
            </w:r>
            <w:r w:rsidR="00E73AB2">
              <w:rPr>
                <w:rFonts w:ascii="Arial" w:hAnsi="Arial" w:cs="Arial"/>
              </w:rPr>
              <w:t xml:space="preserve">to patients </w:t>
            </w:r>
            <w:r w:rsidR="009E342C">
              <w:rPr>
                <w:rFonts w:ascii="Arial" w:hAnsi="Arial" w:cs="Arial"/>
              </w:rPr>
              <w:t>without PCD</w:t>
            </w:r>
            <w:r w:rsidR="00BF3EFB">
              <w:rPr>
                <w:rFonts w:ascii="Arial" w:hAnsi="Arial" w:cs="Arial"/>
              </w:rPr>
              <w:t>.</w:t>
            </w:r>
            <w:r w:rsidR="009E342C">
              <w:rPr>
                <w:rFonts w:ascii="Arial" w:hAnsi="Arial" w:cs="Arial"/>
              </w:rPr>
              <w:t xml:space="preserve"> There was no difference in FRC, LCI or </w:t>
            </w:r>
            <w:proofErr w:type="spellStart"/>
            <w:r w:rsidR="009E342C">
              <w:rPr>
                <w:rFonts w:ascii="Arial" w:hAnsi="Arial" w:cs="Arial"/>
              </w:rPr>
              <w:t>Scond</w:t>
            </w:r>
            <w:proofErr w:type="spellEnd"/>
            <w:r w:rsidR="009E342C">
              <w:rPr>
                <w:rFonts w:ascii="Arial" w:hAnsi="Arial" w:cs="Arial"/>
              </w:rPr>
              <w:t xml:space="preserve"> between the two groups</w:t>
            </w:r>
            <w:r w:rsidR="00E73AB2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2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402"/>
              <w:gridCol w:w="1438"/>
              <w:gridCol w:w="1134"/>
            </w:tblGrid>
            <w:tr w:rsidR="0018423B" w14:paraId="178C61F3" w14:textId="77777777" w:rsidTr="00DE0422">
              <w:tc>
                <w:tcPr>
                  <w:tcW w:w="2122" w:type="dxa"/>
                </w:tcPr>
                <w:p w14:paraId="523AD0C2" w14:textId="77777777" w:rsidR="0018423B" w:rsidRDefault="0018423B" w:rsidP="00184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681F">
                    <w:rPr>
                      <w:rFonts w:ascii="Arial" w:hAnsi="Arial" w:cs="Arial"/>
                      <w:b/>
                      <w:bCs/>
                    </w:rPr>
                    <w:t>Variable</w:t>
                  </w:r>
                </w:p>
                <w:p w14:paraId="2ACF92A9" w14:textId="14C7DD09" w:rsidR="00B613B3" w:rsidRPr="00DE0422" w:rsidRDefault="00B613B3" w:rsidP="00184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E0422">
                    <w:rPr>
                      <w:rFonts w:ascii="Arial" w:hAnsi="Arial" w:cs="Arial"/>
                      <w:b/>
                      <w:bCs/>
                    </w:rPr>
                    <w:t>(Mean ±SD)</w:t>
                  </w:r>
                </w:p>
              </w:tc>
              <w:tc>
                <w:tcPr>
                  <w:tcW w:w="1363" w:type="dxa"/>
                </w:tcPr>
                <w:p w14:paraId="783A264C" w14:textId="779C3B5A" w:rsidR="0018423B" w:rsidRPr="00E4681F" w:rsidRDefault="0018423B" w:rsidP="00184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681F">
                    <w:rPr>
                      <w:rFonts w:ascii="Arial" w:hAnsi="Arial" w:cs="Arial"/>
                      <w:b/>
                      <w:bCs/>
                    </w:rPr>
                    <w:t>PCD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(n=</w:t>
                  </w:r>
                  <w:r w:rsidR="00973C5B">
                    <w:rPr>
                      <w:rFonts w:ascii="Arial" w:hAnsi="Arial" w:cs="Arial"/>
                      <w:b/>
                      <w:bCs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</w:tc>
              <w:tc>
                <w:tcPr>
                  <w:tcW w:w="1438" w:type="dxa"/>
                </w:tcPr>
                <w:p w14:paraId="69DC27B2" w14:textId="4A5469F1" w:rsidR="0018423B" w:rsidRPr="00E4681F" w:rsidRDefault="0018423B" w:rsidP="00184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681F">
                    <w:rPr>
                      <w:rFonts w:ascii="Arial" w:hAnsi="Arial" w:cs="Arial"/>
                      <w:b/>
                      <w:bCs/>
                    </w:rPr>
                    <w:t>Non-PCD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(n=</w:t>
                  </w:r>
                  <w:r w:rsidR="00973C5B">
                    <w:rPr>
                      <w:rFonts w:ascii="Arial" w:hAnsi="Arial" w:cs="Arial"/>
                      <w:b/>
                      <w:bCs/>
                    </w:rPr>
                    <w:t>7</w:t>
                  </w:r>
                  <w:r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3DEBBBB2" w14:textId="77777777" w:rsidR="0018423B" w:rsidRPr="00E4681F" w:rsidRDefault="0018423B" w:rsidP="00184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681F">
                    <w:rPr>
                      <w:rFonts w:ascii="Arial" w:hAnsi="Arial" w:cs="Arial"/>
                      <w:b/>
                      <w:bCs/>
                    </w:rPr>
                    <w:t>p-value</w:t>
                  </w:r>
                </w:p>
              </w:tc>
            </w:tr>
            <w:tr w:rsidR="00E73AB2" w14:paraId="06C4F1B4" w14:textId="77777777" w:rsidTr="00DE0422">
              <w:tc>
                <w:tcPr>
                  <w:tcW w:w="2122" w:type="dxa"/>
                </w:tcPr>
                <w:p w14:paraId="40FCFF81" w14:textId="26A57D9A" w:rsidR="00E73AB2" w:rsidRPr="00A16C6B" w:rsidRDefault="00E73AB2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Age</w:t>
                  </w:r>
                  <w:r w:rsidR="00B613B3">
                    <w:rPr>
                      <w:rFonts w:ascii="Arial" w:hAnsi="Arial" w:cs="Arial"/>
                    </w:rPr>
                    <w:t xml:space="preserve"> (range)</w:t>
                  </w:r>
                </w:p>
              </w:tc>
              <w:tc>
                <w:tcPr>
                  <w:tcW w:w="1363" w:type="dxa"/>
                </w:tcPr>
                <w:p w14:paraId="44E2D6B9" w14:textId="23FD0AFF" w:rsidR="00E73AB2" w:rsidRDefault="0038274D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32.75±11.9</w:t>
                  </w:r>
                </w:p>
              </w:tc>
              <w:tc>
                <w:tcPr>
                  <w:tcW w:w="1438" w:type="dxa"/>
                </w:tcPr>
                <w:p w14:paraId="4D544F66" w14:textId="3657014D" w:rsidR="0038274D" w:rsidRDefault="0038274D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24.14±4.5</w:t>
                  </w:r>
                </w:p>
              </w:tc>
              <w:tc>
                <w:tcPr>
                  <w:tcW w:w="1134" w:type="dxa"/>
                </w:tcPr>
                <w:p w14:paraId="3676CDE1" w14:textId="070385B8" w:rsidR="00E73AB2" w:rsidRPr="002F4D9A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</w:t>
                  </w:r>
                  <w:r w:rsidR="00CF6CC6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8423B" w14:paraId="4B4DB209" w14:textId="77777777" w:rsidTr="00DE0422">
              <w:tc>
                <w:tcPr>
                  <w:tcW w:w="2122" w:type="dxa"/>
                </w:tcPr>
                <w:p w14:paraId="73E06987" w14:textId="77777777" w:rsidR="0018423B" w:rsidRPr="00A16C6B" w:rsidRDefault="0018423B" w:rsidP="0018423B">
                  <w:pPr>
                    <w:rPr>
                      <w:rFonts w:ascii="Arial" w:hAnsi="Arial" w:cs="Arial"/>
                    </w:rPr>
                  </w:pPr>
                  <w:r w:rsidRPr="00A16C6B">
                    <w:rPr>
                      <w:rFonts w:ascii="Arial" w:hAnsi="Arial" w:cs="Arial"/>
                    </w:rPr>
                    <w:t>FRC (L)</w:t>
                  </w:r>
                </w:p>
              </w:tc>
              <w:tc>
                <w:tcPr>
                  <w:tcW w:w="1363" w:type="dxa"/>
                </w:tcPr>
                <w:p w14:paraId="033D5310" w14:textId="318F1495" w:rsidR="0018423B" w:rsidRPr="00A16C6B" w:rsidRDefault="00575511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3.16</w:t>
                  </w:r>
                  <w:r w:rsidR="00E36A06">
                    <w:rPr>
                      <w:rFonts w:ascii="Arial" w:hAnsi="Arial" w:cs="Arial"/>
                    </w:rPr>
                    <w:t>±1.49</w:t>
                  </w:r>
                </w:p>
              </w:tc>
              <w:tc>
                <w:tcPr>
                  <w:tcW w:w="1438" w:type="dxa"/>
                </w:tcPr>
                <w:p w14:paraId="62A83965" w14:textId="788F6B48" w:rsidR="0018423B" w:rsidRPr="00A16C6B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2.57±1.50</w:t>
                  </w:r>
                </w:p>
              </w:tc>
              <w:tc>
                <w:tcPr>
                  <w:tcW w:w="1134" w:type="dxa"/>
                </w:tcPr>
                <w:p w14:paraId="6AAEB474" w14:textId="55501E77" w:rsidR="0018423B" w:rsidRPr="00A16C6B" w:rsidRDefault="000A271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</w:t>
                  </w:r>
                  <w:r w:rsidR="00CF6CC6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8423B" w14:paraId="1221349D" w14:textId="77777777" w:rsidTr="00DE0422">
              <w:tc>
                <w:tcPr>
                  <w:tcW w:w="2122" w:type="dxa"/>
                </w:tcPr>
                <w:p w14:paraId="7EB3F2AF" w14:textId="77777777" w:rsidR="0018423B" w:rsidRPr="00A16C6B" w:rsidRDefault="0018423B" w:rsidP="0018423B">
                  <w:pPr>
                    <w:rPr>
                      <w:rFonts w:ascii="Arial" w:hAnsi="Arial" w:cs="Arial"/>
                    </w:rPr>
                  </w:pPr>
                  <w:r w:rsidRPr="00A16C6B">
                    <w:rPr>
                      <w:rFonts w:ascii="Arial" w:hAnsi="Arial" w:cs="Arial"/>
                    </w:rPr>
                    <w:t>LCI</w:t>
                  </w:r>
                </w:p>
              </w:tc>
              <w:tc>
                <w:tcPr>
                  <w:tcW w:w="1363" w:type="dxa"/>
                </w:tcPr>
                <w:p w14:paraId="58722799" w14:textId="0501B28B" w:rsidR="0018423B" w:rsidRPr="00A16C6B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9.50±6.50</w:t>
                  </w:r>
                </w:p>
              </w:tc>
              <w:tc>
                <w:tcPr>
                  <w:tcW w:w="1438" w:type="dxa"/>
                </w:tcPr>
                <w:p w14:paraId="2E65F485" w14:textId="1E29CB75" w:rsidR="0018423B" w:rsidRPr="00A16C6B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7.04±6.04</w:t>
                  </w:r>
                </w:p>
              </w:tc>
              <w:tc>
                <w:tcPr>
                  <w:tcW w:w="1134" w:type="dxa"/>
                </w:tcPr>
                <w:p w14:paraId="1862674A" w14:textId="4EA24353" w:rsidR="0018423B" w:rsidRPr="00A16C6B" w:rsidRDefault="000A271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0.08</w:t>
                  </w:r>
                </w:p>
              </w:tc>
            </w:tr>
            <w:tr w:rsidR="0018423B" w14:paraId="55D34E1C" w14:textId="77777777" w:rsidTr="00DE0422">
              <w:tc>
                <w:tcPr>
                  <w:tcW w:w="2122" w:type="dxa"/>
                </w:tcPr>
                <w:p w14:paraId="1EEC1D64" w14:textId="5F34202D" w:rsidR="0018423B" w:rsidRPr="00A16C6B" w:rsidRDefault="0018423B" w:rsidP="0018423B">
                  <w:pPr>
                    <w:rPr>
                      <w:rFonts w:ascii="Arial" w:hAnsi="Arial" w:cs="Arial"/>
                    </w:rPr>
                  </w:pPr>
                  <w:r w:rsidRPr="00A16C6B">
                    <w:rPr>
                      <w:rFonts w:ascii="Arial" w:hAnsi="Arial" w:cs="Arial"/>
                    </w:rPr>
                    <w:t>Sacin (L</w:t>
                  </w:r>
                  <w:r w:rsidRPr="00A16C6B">
                    <w:rPr>
                      <w:rFonts w:ascii="Arial" w:hAnsi="Arial" w:cs="Arial"/>
                      <w:vertAlign w:val="superscript"/>
                    </w:rPr>
                    <w:t>-1</w:t>
                  </w:r>
                  <w:r w:rsidR="00973C5B" w:rsidRPr="00024C9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363" w:type="dxa"/>
                </w:tcPr>
                <w:p w14:paraId="63303B33" w14:textId="6DC33F61" w:rsidR="0018423B" w:rsidRPr="00A16C6B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0.220±0.15</w:t>
                  </w:r>
                  <w:r w:rsidR="00973C5B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438" w:type="dxa"/>
                </w:tcPr>
                <w:p w14:paraId="4C5C045E" w14:textId="5121EC8A" w:rsidR="0018423B" w:rsidRPr="00E36A06" w:rsidRDefault="00E36A06" w:rsidP="0018423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0.074±0.04</w:t>
                  </w:r>
                  <w:r w:rsidR="00973C5B" w:rsidRPr="00973C5B">
                    <w:rPr>
                      <w:rFonts w:ascii="Arial" w:hAnsi="Arial" w:cs="Arial"/>
                      <w:vertAlign w:val="superscript"/>
                    </w:rPr>
                    <w:t>#</w:t>
                  </w:r>
                </w:p>
              </w:tc>
              <w:tc>
                <w:tcPr>
                  <w:tcW w:w="1134" w:type="dxa"/>
                </w:tcPr>
                <w:p w14:paraId="0120791F" w14:textId="14A79F95" w:rsidR="0018423B" w:rsidRPr="000939A1" w:rsidRDefault="000A2716" w:rsidP="0018423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0.00</w:t>
                  </w:r>
                  <w:r w:rsidR="00973C5B"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</w:tc>
            </w:tr>
            <w:tr w:rsidR="0018423B" w14:paraId="3522F689" w14:textId="77777777" w:rsidTr="00DE0422">
              <w:tc>
                <w:tcPr>
                  <w:tcW w:w="2122" w:type="dxa"/>
                </w:tcPr>
                <w:p w14:paraId="26687CB0" w14:textId="646F32D1" w:rsidR="0018423B" w:rsidRPr="00A16C6B" w:rsidRDefault="0018423B" w:rsidP="0018423B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A16C6B">
                    <w:rPr>
                      <w:rFonts w:ascii="Arial" w:hAnsi="Arial" w:cs="Arial"/>
                    </w:rPr>
                    <w:t>Scond</w:t>
                  </w:r>
                  <w:proofErr w:type="spellEnd"/>
                  <w:r w:rsidRPr="00A16C6B">
                    <w:rPr>
                      <w:rFonts w:ascii="Arial" w:hAnsi="Arial" w:cs="Arial"/>
                    </w:rPr>
                    <w:t xml:space="preserve"> (L</w:t>
                  </w:r>
                  <w:r w:rsidRPr="00A16C6B">
                    <w:rPr>
                      <w:rFonts w:ascii="Arial" w:hAnsi="Arial" w:cs="Arial"/>
                      <w:vertAlign w:val="superscript"/>
                    </w:rPr>
                    <w:t>-1</w:t>
                  </w:r>
                  <w:r w:rsidR="008F7C0A" w:rsidRPr="00024C90">
                    <w:rPr>
                      <w:rFonts w:ascii="Arial" w:hAnsi="Arial" w:cs="Arial"/>
                    </w:rPr>
                    <w:t>)</w:t>
                  </w:r>
                  <w:r w:rsidRPr="00A16C6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63" w:type="dxa"/>
                </w:tcPr>
                <w:p w14:paraId="11843C30" w14:textId="6C7F4544" w:rsidR="0018423B" w:rsidRPr="00A16C6B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0.075±0.04</w:t>
                  </w:r>
                  <w:r w:rsidR="00973C5B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438" w:type="dxa"/>
                </w:tcPr>
                <w:p w14:paraId="1905C585" w14:textId="18426950" w:rsidR="0018423B" w:rsidRPr="00A16C6B" w:rsidRDefault="00E36A0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0.046±0.03</w:t>
                  </w:r>
                  <w:r w:rsidR="00973C5B" w:rsidRPr="00973C5B">
                    <w:rPr>
                      <w:rFonts w:ascii="Arial" w:hAnsi="Arial" w:cs="Arial"/>
                      <w:vertAlign w:val="superscript"/>
                    </w:rPr>
                    <w:t>#</w:t>
                  </w:r>
                </w:p>
              </w:tc>
              <w:tc>
                <w:tcPr>
                  <w:tcW w:w="1134" w:type="dxa"/>
                </w:tcPr>
                <w:p w14:paraId="0D774F1E" w14:textId="1DDC5697" w:rsidR="0018423B" w:rsidRPr="00A16C6B" w:rsidRDefault="000A2716" w:rsidP="001842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</w:t>
                  </w:r>
                  <w:r w:rsidR="00CF6CC6">
                    <w:rPr>
                      <w:rFonts w:ascii="Arial" w:hAnsi="Arial" w:cs="Arial"/>
                    </w:rPr>
                    <w:t>1</w:t>
                  </w:r>
                </w:p>
              </w:tc>
            </w:tr>
          </w:tbl>
          <w:p w14:paraId="72486D42" w14:textId="77777777" w:rsidR="0018423B" w:rsidRDefault="0018423B" w:rsidP="002F4D9A">
            <w:pPr>
              <w:rPr>
                <w:rFonts w:ascii="Arial" w:hAnsi="Arial" w:cs="Arial"/>
                <w:b/>
                <w:bCs/>
              </w:rPr>
            </w:pPr>
          </w:p>
          <w:p w14:paraId="5C875589" w14:textId="77777777" w:rsidR="0018423B" w:rsidRDefault="0018423B" w:rsidP="002F4D9A">
            <w:pPr>
              <w:rPr>
                <w:rFonts w:ascii="Arial" w:hAnsi="Arial" w:cs="Arial"/>
                <w:b/>
                <w:bCs/>
              </w:rPr>
            </w:pPr>
          </w:p>
          <w:p w14:paraId="4D0549D7" w14:textId="77777777" w:rsidR="0018423B" w:rsidRDefault="0018423B" w:rsidP="002F4D9A">
            <w:pPr>
              <w:rPr>
                <w:rFonts w:ascii="Arial" w:hAnsi="Arial" w:cs="Arial"/>
                <w:b/>
                <w:bCs/>
              </w:rPr>
            </w:pPr>
          </w:p>
          <w:p w14:paraId="123583E1" w14:textId="36A0C737" w:rsidR="0018423B" w:rsidRPr="00024C90" w:rsidRDefault="0018423B" w:rsidP="002F4D9A">
            <w:pPr>
              <w:rPr>
                <w:rFonts w:ascii="Arial" w:hAnsi="Arial" w:cs="Arial"/>
                <w:sz w:val="20"/>
                <w:szCs w:val="20"/>
              </w:rPr>
            </w:pPr>
            <w:r w:rsidRPr="00024C90">
              <w:rPr>
                <w:rFonts w:ascii="Arial" w:hAnsi="Arial" w:cs="Arial"/>
                <w:i/>
                <w:iCs/>
                <w:sz w:val="20"/>
                <w:szCs w:val="20"/>
              </w:rPr>
              <w:t>Table 1.</w:t>
            </w:r>
            <w:r w:rsidRPr="00024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811" w:rsidRPr="00024C90">
              <w:rPr>
                <w:rFonts w:ascii="Arial" w:hAnsi="Arial" w:cs="Arial"/>
                <w:sz w:val="20"/>
                <w:szCs w:val="20"/>
              </w:rPr>
              <w:t>Comparison of variable between PCD and non-PCD patients</w:t>
            </w:r>
          </w:p>
          <w:p w14:paraId="58FBD6F6" w14:textId="77777777" w:rsidR="0018423B" w:rsidRDefault="0018423B" w:rsidP="002F4D9A">
            <w:pPr>
              <w:rPr>
                <w:rFonts w:ascii="Arial" w:hAnsi="Arial" w:cs="Arial"/>
                <w:b/>
                <w:bCs/>
              </w:rPr>
            </w:pPr>
          </w:p>
          <w:p w14:paraId="7A8B5546" w14:textId="77777777" w:rsidR="0018423B" w:rsidRPr="002F4D9A" w:rsidRDefault="0018423B" w:rsidP="002F4D9A">
            <w:pPr>
              <w:rPr>
                <w:rFonts w:ascii="Arial" w:hAnsi="Arial" w:cs="Arial"/>
                <w:b/>
                <w:bCs/>
              </w:rPr>
            </w:pPr>
          </w:p>
          <w:p w14:paraId="71640A13" w14:textId="77777777" w:rsidR="0018423B" w:rsidRDefault="0018423B" w:rsidP="002F4D9A">
            <w:pPr>
              <w:rPr>
                <w:rFonts w:ascii="Arial" w:hAnsi="Arial" w:cs="Arial"/>
                <w:b/>
                <w:bCs/>
              </w:rPr>
            </w:pPr>
          </w:p>
          <w:p w14:paraId="78143866" w14:textId="64197C87" w:rsidR="00E73AB2" w:rsidRPr="00973C5B" w:rsidRDefault="00973C5B" w:rsidP="002F4D9A">
            <w:pPr>
              <w:rPr>
                <w:rFonts w:ascii="Arial" w:hAnsi="Arial" w:cs="Arial"/>
                <w:sz w:val="20"/>
                <w:szCs w:val="20"/>
              </w:rPr>
            </w:pPr>
            <w:r w:rsidRPr="00973C5B">
              <w:rPr>
                <w:rFonts w:ascii="Arial" w:hAnsi="Arial" w:cs="Arial"/>
                <w:sz w:val="20"/>
                <w:szCs w:val="20"/>
              </w:rPr>
              <w:t xml:space="preserve">*n=6, </w:t>
            </w:r>
            <w:r w:rsidRPr="00973C5B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Pr="00973C5B">
              <w:rPr>
                <w:rFonts w:ascii="Arial" w:hAnsi="Arial" w:cs="Arial"/>
                <w:sz w:val="20"/>
                <w:szCs w:val="20"/>
              </w:rPr>
              <w:t>n=7</w:t>
            </w:r>
          </w:p>
          <w:p w14:paraId="20F8BB5D" w14:textId="77777777" w:rsidR="00973C5B" w:rsidRPr="00973C5B" w:rsidRDefault="00973C5B" w:rsidP="002F4D9A">
            <w:pPr>
              <w:rPr>
                <w:rFonts w:ascii="Arial" w:hAnsi="Arial" w:cs="Arial"/>
                <w:b/>
                <w:bCs/>
              </w:rPr>
            </w:pPr>
          </w:p>
          <w:p w14:paraId="34C5CB79" w14:textId="0A168768" w:rsidR="005D18CC" w:rsidRPr="00024C90" w:rsidRDefault="005D18CC" w:rsidP="002F4D9A">
            <w:pPr>
              <w:rPr>
                <w:rFonts w:ascii="Arial" w:hAnsi="Arial" w:cs="Arial"/>
                <w:b/>
                <w:bCs/>
              </w:rPr>
            </w:pPr>
            <w:r w:rsidRPr="002F4D9A">
              <w:rPr>
                <w:rFonts w:ascii="Arial" w:hAnsi="Arial" w:cs="Arial"/>
                <w:b/>
                <w:bCs/>
              </w:rPr>
              <w:t>Conclusion:</w:t>
            </w:r>
            <w:r w:rsidR="00175401">
              <w:rPr>
                <w:rFonts w:ascii="Arial" w:hAnsi="Arial" w:cs="Arial"/>
                <w:b/>
                <w:bCs/>
              </w:rPr>
              <w:t xml:space="preserve"> </w:t>
            </w:r>
            <w:r w:rsidR="001B5DEF" w:rsidRPr="00A16C6B">
              <w:rPr>
                <w:rFonts w:ascii="Arial" w:hAnsi="Arial" w:cs="Arial"/>
              </w:rPr>
              <w:t>PCD positive patients h</w:t>
            </w:r>
            <w:r w:rsidR="00BF3EFB">
              <w:rPr>
                <w:rFonts w:ascii="Arial" w:hAnsi="Arial" w:cs="Arial"/>
              </w:rPr>
              <w:t xml:space="preserve">ave </w:t>
            </w:r>
            <w:r w:rsidR="001B5DEF" w:rsidRPr="00A16C6B">
              <w:rPr>
                <w:rFonts w:ascii="Arial" w:hAnsi="Arial" w:cs="Arial"/>
              </w:rPr>
              <w:t xml:space="preserve">worse ventilation </w:t>
            </w:r>
            <w:r w:rsidR="00560FD2" w:rsidRPr="00A16C6B">
              <w:rPr>
                <w:rFonts w:ascii="Arial" w:hAnsi="Arial" w:cs="Arial"/>
              </w:rPr>
              <w:t xml:space="preserve">heterogeneity </w:t>
            </w:r>
            <w:r w:rsidR="001B5DEF" w:rsidRPr="00A16C6B">
              <w:rPr>
                <w:rFonts w:ascii="Arial" w:hAnsi="Arial" w:cs="Arial"/>
              </w:rPr>
              <w:t xml:space="preserve">in airways where the predominant mechanism of gas flow is by </w:t>
            </w:r>
            <w:r w:rsidR="00560FD2" w:rsidRPr="00A16C6B">
              <w:rPr>
                <w:rFonts w:ascii="Arial" w:hAnsi="Arial" w:cs="Arial"/>
              </w:rPr>
              <w:t>diffusion</w:t>
            </w:r>
            <w:r w:rsidR="00BF3EFB">
              <w:rPr>
                <w:rFonts w:ascii="Arial" w:hAnsi="Arial" w:cs="Arial"/>
              </w:rPr>
              <w:t>, compared with non-PCD patients</w:t>
            </w:r>
            <w:r w:rsidR="00560FD2" w:rsidRPr="00A16C6B">
              <w:rPr>
                <w:rFonts w:ascii="Arial" w:hAnsi="Arial" w:cs="Arial"/>
              </w:rPr>
              <w:t xml:space="preserve">. </w:t>
            </w:r>
            <w:r w:rsidR="00E73AB2">
              <w:rPr>
                <w:rFonts w:ascii="Arial" w:hAnsi="Arial" w:cs="Arial"/>
              </w:rPr>
              <w:t>This study</w:t>
            </w:r>
            <w:r w:rsidR="00E73AB2" w:rsidRPr="00A16C6B">
              <w:rPr>
                <w:rFonts w:ascii="Arial" w:hAnsi="Arial" w:cs="Arial"/>
              </w:rPr>
              <w:t xml:space="preserve"> confirm</w:t>
            </w:r>
            <w:r w:rsidR="00E73AB2">
              <w:rPr>
                <w:rFonts w:ascii="Arial" w:hAnsi="Arial" w:cs="Arial"/>
              </w:rPr>
              <w:t>s</w:t>
            </w:r>
            <w:r w:rsidR="00E73AB2" w:rsidRPr="00A16C6B">
              <w:rPr>
                <w:rFonts w:ascii="Arial" w:hAnsi="Arial" w:cs="Arial"/>
              </w:rPr>
              <w:t xml:space="preserve"> peripheral airway involvement in PCD</w:t>
            </w:r>
            <w:r w:rsidR="00BF3EFB">
              <w:rPr>
                <w:rFonts w:ascii="Arial" w:hAnsi="Arial" w:cs="Arial"/>
              </w:rPr>
              <w:t xml:space="preserve"> and </w:t>
            </w:r>
            <w:r w:rsidR="00E73AB2">
              <w:rPr>
                <w:rFonts w:ascii="Arial" w:hAnsi="Arial" w:cs="Arial"/>
              </w:rPr>
              <w:t xml:space="preserve">provides mechanistic insight into </w:t>
            </w:r>
            <w:r w:rsidR="00BF3EFB">
              <w:rPr>
                <w:rFonts w:ascii="Arial" w:hAnsi="Arial" w:cs="Arial"/>
              </w:rPr>
              <w:t xml:space="preserve">the </w:t>
            </w:r>
            <w:r w:rsidR="00E73AB2">
              <w:rPr>
                <w:rFonts w:ascii="Arial" w:hAnsi="Arial" w:cs="Arial"/>
              </w:rPr>
              <w:t>disease process, especially at the time of diagnosis</w:t>
            </w:r>
            <w:r w:rsidR="00BF3EFB">
              <w:rPr>
                <w:rFonts w:ascii="Arial" w:hAnsi="Arial" w:cs="Arial"/>
              </w:rPr>
              <w:t xml:space="preserve">. </w:t>
            </w:r>
            <w:r w:rsidR="00175401" w:rsidRPr="00560FD2">
              <w:rPr>
                <w:rFonts w:ascii="Arial" w:hAnsi="Arial" w:cs="Arial"/>
              </w:rPr>
              <w:t>MBNW</w:t>
            </w:r>
            <w:r w:rsidR="00F45E5D">
              <w:rPr>
                <w:rFonts w:ascii="Arial" w:hAnsi="Arial" w:cs="Arial"/>
              </w:rPr>
              <w:t xml:space="preserve"> is a useful and practical test to perform</w:t>
            </w:r>
            <w:r w:rsidR="00175401" w:rsidRPr="00560FD2">
              <w:rPr>
                <w:rFonts w:ascii="Arial" w:hAnsi="Arial" w:cs="Arial"/>
              </w:rPr>
              <w:t xml:space="preserve"> </w:t>
            </w:r>
            <w:r w:rsidR="00697F1D">
              <w:rPr>
                <w:rFonts w:ascii="Arial" w:hAnsi="Arial" w:cs="Arial"/>
              </w:rPr>
              <w:t xml:space="preserve">in patients attending </w:t>
            </w:r>
            <w:r w:rsidR="00F45E5D">
              <w:rPr>
                <w:rFonts w:ascii="Arial" w:hAnsi="Arial" w:cs="Arial"/>
              </w:rPr>
              <w:t xml:space="preserve">the </w:t>
            </w:r>
            <w:r w:rsidR="00697F1D">
              <w:rPr>
                <w:rFonts w:ascii="Arial" w:hAnsi="Arial" w:cs="Arial"/>
              </w:rPr>
              <w:t xml:space="preserve">ciliary function </w:t>
            </w:r>
            <w:r w:rsidR="00E73AB2">
              <w:rPr>
                <w:rFonts w:ascii="Arial" w:hAnsi="Arial" w:cs="Arial"/>
              </w:rPr>
              <w:t>clinic</w:t>
            </w:r>
            <w:r w:rsidR="00F45E5D">
              <w:rPr>
                <w:rFonts w:ascii="Arial" w:hAnsi="Arial" w:cs="Arial"/>
              </w:rPr>
              <w:t>.</w:t>
            </w:r>
          </w:p>
          <w:p w14:paraId="5A7DD0CE" w14:textId="77777777" w:rsidR="005D18CC" w:rsidRPr="002F4D9A" w:rsidRDefault="005D18CC" w:rsidP="002F4D9A">
            <w:pPr>
              <w:rPr>
                <w:rFonts w:ascii="Arial" w:hAnsi="Arial" w:cs="Arial"/>
                <w:b/>
                <w:bCs/>
              </w:rPr>
            </w:pPr>
          </w:p>
          <w:p w14:paraId="255F195B" w14:textId="75144DEC" w:rsidR="005D18CC" w:rsidRPr="002F4D9A" w:rsidRDefault="005D18CC" w:rsidP="002F4D9A">
            <w:pPr>
              <w:rPr>
                <w:rFonts w:ascii="Arial" w:hAnsi="Arial" w:cs="Arial"/>
                <w:b/>
                <w:bCs/>
              </w:rPr>
            </w:pPr>
            <w:r w:rsidRPr="002F4D9A">
              <w:rPr>
                <w:rFonts w:ascii="Arial" w:hAnsi="Arial" w:cs="Arial"/>
                <w:b/>
                <w:bCs/>
              </w:rPr>
              <w:t>Key Words:</w:t>
            </w:r>
            <w:r w:rsidR="00BF1E60" w:rsidRPr="002F4D9A">
              <w:rPr>
                <w:rFonts w:ascii="Arial" w:hAnsi="Arial" w:cs="Arial"/>
                <w:b/>
                <w:bCs/>
              </w:rPr>
              <w:t xml:space="preserve"> </w:t>
            </w:r>
            <w:r w:rsidR="00BF1E60" w:rsidRPr="002F4D9A">
              <w:rPr>
                <w:rFonts w:ascii="Arial" w:hAnsi="Arial" w:cs="Arial"/>
              </w:rPr>
              <w:t>Primary ciliary dyskinesia (PCD),</w:t>
            </w:r>
            <w:r w:rsidR="00BF1E60" w:rsidRPr="002F4D9A">
              <w:rPr>
                <w:rFonts w:ascii="Arial" w:hAnsi="Arial" w:cs="Arial"/>
                <w:b/>
                <w:bCs/>
              </w:rPr>
              <w:t xml:space="preserve"> </w:t>
            </w:r>
            <w:r w:rsidR="00CF4AF6" w:rsidRPr="002F4D9A">
              <w:rPr>
                <w:rFonts w:ascii="Arial" w:hAnsi="Arial" w:cs="Arial"/>
              </w:rPr>
              <w:t>multiple breath nitrogen washout (</w:t>
            </w:r>
            <w:r w:rsidR="00A30E0F" w:rsidRPr="002F4D9A">
              <w:rPr>
                <w:rFonts w:ascii="Arial" w:hAnsi="Arial" w:cs="Arial"/>
              </w:rPr>
              <w:t>MBNW), nasal nitric oxide, ciliary beat frequency</w:t>
            </w:r>
            <w:r w:rsidR="009F2DAF">
              <w:rPr>
                <w:rFonts w:ascii="Arial" w:hAnsi="Arial" w:cs="Arial"/>
              </w:rPr>
              <w:t>,</w:t>
            </w:r>
            <w:r w:rsidR="00EF2F9D">
              <w:rPr>
                <w:rFonts w:ascii="Arial" w:hAnsi="Arial" w:cs="Arial"/>
              </w:rPr>
              <w:t xml:space="preserve"> </w:t>
            </w:r>
            <w:r w:rsidR="0004185E">
              <w:rPr>
                <w:rFonts w:ascii="Arial" w:hAnsi="Arial" w:cs="Arial"/>
              </w:rPr>
              <w:t xml:space="preserve">lung clearance index, </w:t>
            </w:r>
            <w:proofErr w:type="spellStart"/>
            <w:r w:rsidR="0004185E">
              <w:rPr>
                <w:rFonts w:ascii="Arial" w:hAnsi="Arial" w:cs="Arial"/>
              </w:rPr>
              <w:t>Sacin</w:t>
            </w:r>
            <w:proofErr w:type="spellEnd"/>
            <w:r w:rsidR="0004185E">
              <w:rPr>
                <w:rFonts w:ascii="Arial" w:hAnsi="Arial" w:cs="Arial"/>
              </w:rPr>
              <w:t xml:space="preserve"> and </w:t>
            </w:r>
            <w:proofErr w:type="spellStart"/>
            <w:r w:rsidR="0004185E">
              <w:rPr>
                <w:rFonts w:ascii="Arial" w:hAnsi="Arial" w:cs="Arial"/>
              </w:rPr>
              <w:t>Scond</w:t>
            </w:r>
            <w:proofErr w:type="spellEnd"/>
            <w:r w:rsidR="0004185E">
              <w:rPr>
                <w:rFonts w:ascii="Arial" w:hAnsi="Arial" w:cs="Arial"/>
              </w:rPr>
              <w:t>.</w:t>
            </w:r>
          </w:p>
          <w:p w14:paraId="1A3D3DA8" w14:textId="77777777" w:rsidR="005D18CC" w:rsidRPr="002F4D9A" w:rsidRDefault="005D18CC" w:rsidP="002F4D9A">
            <w:pPr>
              <w:rPr>
                <w:rFonts w:ascii="Arial" w:hAnsi="Arial" w:cs="Arial"/>
                <w:b/>
                <w:bCs/>
              </w:rPr>
            </w:pPr>
          </w:p>
          <w:p w14:paraId="6A7FCF0D" w14:textId="3C5759BB" w:rsidR="005D18CC" w:rsidRPr="002F4D9A" w:rsidRDefault="005D18CC" w:rsidP="002F4D9A">
            <w:pPr>
              <w:rPr>
                <w:rFonts w:ascii="Arial" w:hAnsi="Arial" w:cs="Arial"/>
                <w:b/>
                <w:bCs/>
              </w:rPr>
            </w:pPr>
            <w:r w:rsidRPr="002F4D9A">
              <w:rPr>
                <w:rFonts w:ascii="Arial" w:hAnsi="Arial" w:cs="Arial"/>
                <w:b/>
                <w:bCs/>
              </w:rPr>
              <w:t>Grant Support:</w:t>
            </w:r>
            <w:r w:rsidR="00D36692" w:rsidRPr="002F4D9A">
              <w:rPr>
                <w:rFonts w:ascii="Arial" w:hAnsi="Arial" w:cs="Arial"/>
                <w:b/>
                <w:bCs/>
              </w:rPr>
              <w:t xml:space="preserve"> </w:t>
            </w:r>
            <w:r w:rsidR="00183CD5">
              <w:rPr>
                <w:rFonts w:ascii="Arial" w:hAnsi="Arial" w:cs="Arial"/>
              </w:rPr>
              <w:t>Applied for ASM Grant</w:t>
            </w:r>
          </w:p>
          <w:p w14:paraId="0B3FCEE5" w14:textId="15626862" w:rsidR="005D18CC" w:rsidRPr="002F4D9A" w:rsidRDefault="005D18CC" w:rsidP="002F4D9A">
            <w:pPr>
              <w:rPr>
                <w:rFonts w:ascii="Arial" w:hAnsi="Arial" w:cs="Arial"/>
              </w:rPr>
            </w:pPr>
          </w:p>
        </w:tc>
      </w:tr>
    </w:tbl>
    <w:p w14:paraId="306CCD2B" w14:textId="77777777" w:rsidR="000E1EFB" w:rsidRDefault="000E1EFB"/>
    <w:sectPr w:rsidR="000E1EFB" w:rsidSect="00A16C6B">
      <w:pgSz w:w="11906" w:h="16838"/>
      <w:pgMar w:top="1440" w:right="1440" w:bottom="6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CC"/>
    <w:rsid w:val="0001546E"/>
    <w:rsid w:val="00024C90"/>
    <w:rsid w:val="0004185E"/>
    <w:rsid w:val="00050420"/>
    <w:rsid w:val="000663B1"/>
    <w:rsid w:val="000921E3"/>
    <w:rsid w:val="000939A1"/>
    <w:rsid w:val="000A2716"/>
    <w:rsid w:val="000C65A5"/>
    <w:rsid w:val="000D0811"/>
    <w:rsid w:val="000D27F3"/>
    <w:rsid w:val="000E1EFB"/>
    <w:rsid w:val="00106E98"/>
    <w:rsid w:val="00112586"/>
    <w:rsid w:val="00113C20"/>
    <w:rsid w:val="00116B40"/>
    <w:rsid w:val="00126E70"/>
    <w:rsid w:val="00132888"/>
    <w:rsid w:val="0014183D"/>
    <w:rsid w:val="00175401"/>
    <w:rsid w:val="00183CD5"/>
    <w:rsid w:val="0018423B"/>
    <w:rsid w:val="001A4F3D"/>
    <w:rsid w:val="001B5DEF"/>
    <w:rsid w:val="001B671D"/>
    <w:rsid w:val="001E07A4"/>
    <w:rsid w:val="00202711"/>
    <w:rsid w:val="00205162"/>
    <w:rsid w:val="002310A1"/>
    <w:rsid w:val="002503BA"/>
    <w:rsid w:val="002534B4"/>
    <w:rsid w:val="002535A2"/>
    <w:rsid w:val="002611E8"/>
    <w:rsid w:val="00285F4F"/>
    <w:rsid w:val="002B6ADB"/>
    <w:rsid w:val="002C31A1"/>
    <w:rsid w:val="002F4D9A"/>
    <w:rsid w:val="002F5B88"/>
    <w:rsid w:val="00303A0D"/>
    <w:rsid w:val="00316A1D"/>
    <w:rsid w:val="003331EC"/>
    <w:rsid w:val="0034055D"/>
    <w:rsid w:val="003742EC"/>
    <w:rsid w:val="0038274D"/>
    <w:rsid w:val="003B18B0"/>
    <w:rsid w:val="004254E4"/>
    <w:rsid w:val="00450668"/>
    <w:rsid w:val="00466FAC"/>
    <w:rsid w:val="00472126"/>
    <w:rsid w:val="00472DB5"/>
    <w:rsid w:val="00477E3C"/>
    <w:rsid w:val="00496B1B"/>
    <w:rsid w:val="004A000B"/>
    <w:rsid w:val="004C6217"/>
    <w:rsid w:val="004C7AB0"/>
    <w:rsid w:val="004F62D3"/>
    <w:rsid w:val="0050032B"/>
    <w:rsid w:val="00501D32"/>
    <w:rsid w:val="00533459"/>
    <w:rsid w:val="005376FF"/>
    <w:rsid w:val="00553465"/>
    <w:rsid w:val="00560204"/>
    <w:rsid w:val="00560FD2"/>
    <w:rsid w:val="00562FBE"/>
    <w:rsid w:val="00575511"/>
    <w:rsid w:val="005A26C3"/>
    <w:rsid w:val="005A35BE"/>
    <w:rsid w:val="005A3C38"/>
    <w:rsid w:val="005A70C5"/>
    <w:rsid w:val="005C7106"/>
    <w:rsid w:val="005D08F0"/>
    <w:rsid w:val="005D18CC"/>
    <w:rsid w:val="005D33BA"/>
    <w:rsid w:val="005E5329"/>
    <w:rsid w:val="005F5F8C"/>
    <w:rsid w:val="006111D8"/>
    <w:rsid w:val="006250DE"/>
    <w:rsid w:val="006253C8"/>
    <w:rsid w:val="00625741"/>
    <w:rsid w:val="00641B34"/>
    <w:rsid w:val="00645086"/>
    <w:rsid w:val="00665973"/>
    <w:rsid w:val="00670BD2"/>
    <w:rsid w:val="0067565C"/>
    <w:rsid w:val="00676357"/>
    <w:rsid w:val="00693440"/>
    <w:rsid w:val="00697F1D"/>
    <w:rsid w:val="006B2FE8"/>
    <w:rsid w:val="006B7596"/>
    <w:rsid w:val="00710166"/>
    <w:rsid w:val="00724B89"/>
    <w:rsid w:val="00727617"/>
    <w:rsid w:val="00737130"/>
    <w:rsid w:val="0076531D"/>
    <w:rsid w:val="0077066E"/>
    <w:rsid w:val="007A041C"/>
    <w:rsid w:val="007B18AB"/>
    <w:rsid w:val="007B4864"/>
    <w:rsid w:val="007B6111"/>
    <w:rsid w:val="007B6A28"/>
    <w:rsid w:val="007B7E3A"/>
    <w:rsid w:val="007D0441"/>
    <w:rsid w:val="007D512E"/>
    <w:rsid w:val="007E0C4E"/>
    <w:rsid w:val="007E75D9"/>
    <w:rsid w:val="007F1FA3"/>
    <w:rsid w:val="007F65C1"/>
    <w:rsid w:val="007F7AE4"/>
    <w:rsid w:val="00816879"/>
    <w:rsid w:val="0084629D"/>
    <w:rsid w:val="00853B1B"/>
    <w:rsid w:val="00867138"/>
    <w:rsid w:val="008A0716"/>
    <w:rsid w:val="008B2E29"/>
    <w:rsid w:val="008D41E2"/>
    <w:rsid w:val="008F7C0A"/>
    <w:rsid w:val="00902305"/>
    <w:rsid w:val="00915658"/>
    <w:rsid w:val="00923E3B"/>
    <w:rsid w:val="00932581"/>
    <w:rsid w:val="00944775"/>
    <w:rsid w:val="00973C5B"/>
    <w:rsid w:val="00977FC4"/>
    <w:rsid w:val="00982BF5"/>
    <w:rsid w:val="009A5619"/>
    <w:rsid w:val="009B11AD"/>
    <w:rsid w:val="009B582F"/>
    <w:rsid w:val="009C247E"/>
    <w:rsid w:val="009E342C"/>
    <w:rsid w:val="009E4797"/>
    <w:rsid w:val="009F2DAF"/>
    <w:rsid w:val="00A15AE2"/>
    <w:rsid w:val="00A16C6B"/>
    <w:rsid w:val="00A245AA"/>
    <w:rsid w:val="00A30A7D"/>
    <w:rsid w:val="00A30E0F"/>
    <w:rsid w:val="00A54BFA"/>
    <w:rsid w:val="00A65931"/>
    <w:rsid w:val="00AA0BB7"/>
    <w:rsid w:val="00AA7155"/>
    <w:rsid w:val="00AB71F8"/>
    <w:rsid w:val="00AD38A7"/>
    <w:rsid w:val="00B2655C"/>
    <w:rsid w:val="00B45D00"/>
    <w:rsid w:val="00B613B3"/>
    <w:rsid w:val="00B6305E"/>
    <w:rsid w:val="00B63F12"/>
    <w:rsid w:val="00B77064"/>
    <w:rsid w:val="00B848F3"/>
    <w:rsid w:val="00B87547"/>
    <w:rsid w:val="00B93CB8"/>
    <w:rsid w:val="00BB383A"/>
    <w:rsid w:val="00BD5635"/>
    <w:rsid w:val="00BD69FF"/>
    <w:rsid w:val="00BD6C2F"/>
    <w:rsid w:val="00BF1E60"/>
    <w:rsid w:val="00BF3EFB"/>
    <w:rsid w:val="00C603EB"/>
    <w:rsid w:val="00C7518A"/>
    <w:rsid w:val="00CA40F4"/>
    <w:rsid w:val="00CD2B5A"/>
    <w:rsid w:val="00CD3DF1"/>
    <w:rsid w:val="00CE3477"/>
    <w:rsid w:val="00CF4567"/>
    <w:rsid w:val="00CF4AF6"/>
    <w:rsid w:val="00CF6CC6"/>
    <w:rsid w:val="00D011F3"/>
    <w:rsid w:val="00D27774"/>
    <w:rsid w:val="00D34895"/>
    <w:rsid w:val="00D36692"/>
    <w:rsid w:val="00D904C2"/>
    <w:rsid w:val="00DB3C95"/>
    <w:rsid w:val="00DB6A8D"/>
    <w:rsid w:val="00DD0204"/>
    <w:rsid w:val="00DE0422"/>
    <w:rsid w:val="00DE05A5"/>
    <w:rsid w:val="00DE2B80"/>
    <w:rsid w:val="00E05873"/>
    <w:rsid w:val="00E06ACA"/>
    <w:rsid w:val="00E23769"/>
    <w:rsid w:val="00E36A06"/>
    <w:rsid w:val="00E40CF1"/>
    <w:rsid w:val="00E4681F"/>
    <w:rsid w:val="00E73AB2"/>
    <w:rsid w:val="00EA5A0A"/>
    <w:rsid w:val="00EB0338"/>
    <w:rsid w:val="00EB0B11"/>
    <w:rsid w:val="00EC03EB"/>
    <w:rsid w:val="00EF2F9D"/>
    <w:rsid w:val="00F067D8"/>
    <w:rsid w:val="00F16A95"/>
    <w:rsid w:val="00F42E2E"/>
    <w:rsid w:val="00F45E5D"/>
    <w:rsid w:val="00F5051D"/>
    <w:rsid w:val="00F55A0D"/>
    <w:rsid w:val="00F57CA0"/>
    <w:rsid w:val="00F63CEB"/>
    <w:rsid w:val="00F7776E"/>
    <w:rsid w:val="00FA6017"/>
    <w:rsid w:val="00FB5C0C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1903"/>
  <w15:chartTrackingRefBased/>
  <w15:docId w15:val="{E49B288B-2057-488C-BD03-EB8DBD96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34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79C771F844A4F91698FD118528E93" ma:contentTypeVersion="13" ma:contentTypeDescription="Create a new document." ma:contentTypeScope="" ma:versionID="768eea55d332ad533e967177cd1efd9f">
  <xsd:schema xmlns:xsd="http://www.w3.org/2001/XMLSchema" xmlns:xs="http://www.w3.org/2001/XMLSchema" xmlns:p="http://schemas.microsoft.com/office/2006/metadata/properties" xmlns:ns3="6baa46d6-2512-41d7-be3a-53126114ae9c" xmlns:ns4="f9549f6a-83ae-4986-865e-67d6647c02c2" targetNamespace="http://schemas.microsoft.com/office/2006/metadata/properties" ma:root="true" ma:fieldsID="19990b2feeaa6e7f9004bac8feb98bbe" ns3:_="" ns4:_="">
    <xsd:import namespace="6baa46d6-2512-41d7-be3a-53126114ae9c"/>
    <xsd:import namespace="f9549f6a-83ae-4986-865e-67d6647c0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a46d6-2512-41d7-be3a-53126114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9f6a-83ae-4986-865e-67d6647c0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a46d6-2512-41d7-be3a-53126114a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334A-59F7-454B-A260-A84BF1E0401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baa46d6-2512-41d7-be3a-53126114ae9c"/>
    <ds:schemaRef ds:uri="f9549f6a-83ae-4986-865e-67d6647c02c2"/>
  </ds:schemaRefs>
</ds:datastoreItem>
</file>

<file path=customXml/itemProps2.xml><?xml version="1.0" encoding="utf-8"?>
<ds:datastoreItem xmlns:ds="http://schemas.openxmlformats.org/officeDocument/2006/customXml" ds:itemID="{7FEEF2D2-4611-4666-948E-E34A92EA04AA}">
  <ds:schemaRefs>
    <ds:schemaRef ds:uri="http://schemas.microsoft.com/office/2006/metadata/properties"/>
    <ds:schemaRef ds:uri="http://www.w3.org/2000/xmlns/"/>
    <ds:schemaRef ds:uri="6baa46d6-2512-41d7-be3a-53126114ae9c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963F49F-B105-4BDD-90F8-802BF0FF6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SLHD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Tierney (Sydney LHD)</dc:creator>
  <cp:keywords/>
  <dc:description/>
  <cp:lastModifiedBy>Caoimhe Tierney (Sydney LHD)</cp:lastModifiedBy>
  <cp:revision>2</cp:revision>
  <dcterms:created xsi:type="dcterms:W3CDTF">2023-10-19T04:19:00Z</dcterms:created>
  <dcterms:modified xsi:type="dcterms:W3CDTF">2023-10-19T04:19:00Z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0x010100BA379C771F844A4F91698FD118528E93</vt:lpwstr>
  </property>
</Properties>
</file>