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971E6BF" w14:textId="4E9D7BFE" w:rsidR="008D0FA1" w:rsidRPr="005A55CC" w:rsidRDefault="005A55CC" w:rsidP="00766E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iCs/>
                <w:sz w:val="22"/>
                <w:szCs w:val="22"/>
                <w:lang w:val="en-NZ"/>
              </w:rPr>
            </w:pPr>
            <w:r w:rsidRPr="005A55CC">
              <w:rPr>
                <w:rFonts w:ascii="Arial" w:hAnsi="Arial" w:cs="Arial"/>
                <w:bCs/>
                <w:i/>
                <w:iCs/>
                <w:sz w:val="22"/>
                <w:szCs w:val="22"/>
                <w:lang w:val="en-NZ"/>
              </w:rPr>
              <w:t>Paper</w:t>
            </w:r>
          </w:p>
          <w:p w14:paraId="15284000" w14:textId="0C1053F7" w:rsidR="00766E3C" w:rsidRDefault="00766E3C" w:rsidP="00766E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lang w:val="en-GB"/>
              </w:rPr>
            </w:pPr>
            <w:r w:rsidRPr="00AA3928">
              <w:rPr>
                <w:rFonts w:ascii="Arial" w:hAnsi="Arial" w:cs="Arial"/>
                <w:b/>
                <w:sz w:val="22"/>
                <w:szCs w:val="22"/>
                <w:lang w:val="en-NZ"/>
              </w:rPr>
              <w:t>Applying transformative adaptation concepts in a sectoral context: Lessons from the water sector</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980C35A" w14:textId="7E0B3AA2" w:rsidR="00FF55DA" w:rsidRPr="00926068" w:rsidRDefault="00FF55DA" w:rsidP="00FF55DA">
            <w:pPr>
              <w:spacing w:before="240" w:line="276" w:lineRule="auto"/>
              <w:jc w:val="both"/>
              <w:rPr>
                <w:rFonts w:ascii="Arial" w:hAnsi="Arial" w:cs="Arial"/>
                <w:bCs/>
                <w:color w:val="000000" w:themeColor="text1"/>
                <w:sz w:val="22"/>
                <w:szCs w:val="22"/>
              </w:rPr>
            </w:pPr>
            <w:r w:rsidRPr="00926068">
              <w:rPr>
                <w:rFonts w:ascii="Arial" w:hAnsi="Arial" w:cs="Arial"/>
                <w:bCs/>
                <w:color w:val="000000" w:themeColor="text1"/>
                <w:sz w:val="22"/>
                <w:szCs w:val="22"/>
              </w:rPr>
              <w:t>With the increasing impact of climate change, water services, particularly in climate-vulnerable regions</w:t>
            </w:r>
            <w:r w:rsidR="00042E5E">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1"/>
            </w:r>
            <w:r w:rsidR="00EB6A72" w:rsidRPr="00EB6A72">
              <w:rPr>
                <w:rFonts w:ascii="Arial" w:hAnsi="Arial" w:cs="Arial"/>
                <w:bCs/>
                <w:color w:val="000000" w:themeColor="text1"/>
                <w:sz w:val="22"/>
                <w:szCs w:val="22"/>
                <w:vertAlign w:val="superscript"/>
              </w:rPr>
              <w:t>,</w:t>
            </w:r>
            <w:r>
              <w:rPr>
                <w:rStyle w:val="FootnoteReference"/>
                <w:rFonts w:ascii="Arial" w:hAnsi="Arial" w:cs="Arial"/>
                <w:bCs/>
                <w:color w:val="000000" w:themeColor="text1"/>
                <w:sz w:val="22"/>
                <w:szCs w:val="22"/>
              </w:rPr>
              <w:footnoteReference w:id="2"/>
            </w:r>
            <w:r w:rsidR="00042E5E">
              <w:rPr>
                <w:rFonts w:ascii="Arial" w:hAnsi="Arial" w:cs="Arial"/>
                <w:bCs/>
                <w:color w:val="000000" w:themeColor="text1"/>
                <w:sz w:val="22"/>
                <w:szCs w:val="22"/>
              </w:rPr>
              <w:t xml:space="preserve"> </w:t>
            </w:r>
            <w:r w:rsidRPr="00926068">
              <w:rPr>
                <w:rFonts w:ascii="Arial" w:hAnsi="Arial" w:cs="Arial"/>
                <w:bCs/>
                <w:color w:val="000000" w:themeColor="text1"/>
                <w:sz w:val="22"/>
                <w:szCs w:val="22"/>
              </w:rPr>
              <w:t>are being pushed to their adaptation limits</w:t>
            </w:r>
            <w:r w:rsidR="00042E5E">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3"/>
            </w:r>
            <w:r w:rsidRPr="00926068">
              <w:rPr>
                <w:rFonts w:ascii="Arial" w:hAnsi="Arial" w:cs="Arial"/>
                <w:bCs/>
                <w:color w:val="000000" w:themeColor="text1"/>
                <w:sz w:val="22"/>
                <w:szCs w:val="22"/>
              </w:rPr>
              <w:t xml:space="preserve"> This challenge of approaching traditional adaptation limits implies that all interventions adopted must advance beyond maintaining the status quo, moving from a reactive to a proactive adaptation </w:t>
            </w:r>
            <w:r w:rsidR="00042E5E">
              <w:rPr>
                <w:rFonts w:ascii="Arial" w:hAnsi="Arial" w:cs="Arial"/>
                <w:bCs/>
                <w:color w:val="000000" w:themeColor="text1"/>
                <w:sz w:val="22"/>
                <w:szCs w:val="22"/>
              </w:rPr>
              <w:t>approach.</w:t>
            </w:r>
            <w:r>
              <w:rPr>
                <w:rStyle w:val="FootnoteReference"/>
                <w:rFonts w:ascii="Arial" w:hAnsi="Arial" w:cs="Arial"/>
                <w:bCs/>
                <w:color w:val="000000" w:themeColor="text1"/>
                <w:sz w:val="22"/>
                <w:szCs w:val="22"/>
              </w:rPr>
              <w:footnoteReference w:id="4"/>
            </w:r>
            <w:r w:rsidR="00EB6A72" w:rsidRPr="00EB6A72">
              <w:rPr>
                <w:rFonts w:ascii="Arial" w:hAnsi="Arial" w:cs="Arial"/>
                <w:bCs/>
                <w:color w:val="000000" w:themeColor="text1"/>
                <w:sz w:val="22"/>
                <w:szCs w:val="22"/>
                <w:vertAlign w:val="superscript"/>
              </w:rPr>
              <w:t>,</w:t>
            </w:r>
            <w:r>
              <w:rPr>
                <w:rStyle w:val="FootnoteReference"/>
                <w:rFonts w:ascii="Arial" w:hAnsi="Arial" w:cs="Arial"/>
                <w:bCs/>
                <w:color w:val="000000" w:themeColor="text1"/>
                <w:sz w:val="22"/>
                <w:szCs w:val="22"/>
              </w:rPr>
              <w:footnoteReference w:id="5"/>
            </w:r>
            <w:r w:rsidRPr="00926068">
              <w:rPr>
                <w:rFonts w:ascii="Arial" w:hAnsi="Arial" w:cs="Arial"/>
                <w:bCs/>
                <w:color w:val="000000" w:themeColor="text1"/>
                <w:sz w:val="22"/>
                <w:szCs w:val="22"/>
              </w:rPr>
              <w:t>Although the term transformative adaptation has been increasingly used in climate adaptation debates, it is still a fairly complex concept with different meanings and implications across sectors</w:t>
            </w:r>
            <w:r w:rsidR="00042E5E">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6"/>
            </w:r>
            <w:r w:rsidR="00EB6A72" w:rsidRPr="00EB6A72">
              <w:rPr>
                <w:rFonts w:ascii="Arial" w:hAnsi="Arial" w:cs="Arial"/>
                <w:bCs/>
                <w:color w:val="000000" w:themeColor="text1"/>
                <w:sz w:val="22"/>
                <w:szCs w:val="22"/>
                <w:vertAlign w:val="superscript"/>
              </w:rPr>
              <w:t>,</w:t>
            </w:r>
            <w:r>
              <w:rPr>
                <w:rStyle w:val="FootnoteReference"/>
                <w:rFonts w:ascii="Arial" w:hAnsi="Arial" w:cs="Arial"/>
                <w:bCs/>
                <w:color w:val="000000" w:themeColor="text1"/>
                <w:sz w:val="22"/>
                <w:szCs w:val="22"/>
              </w:rPr>
              <w:footnoteReference w:id="7"/>
            </w:r>
            <w:r w:rsidR="00042E5E">
              <w:rPr>
                <w:rFonts w:ascii="Arial" w:hAnsi="Arial" w:cs="Arial"/>
                <w:bCs/>
                <w:color w:val="000000" w:themeColor="text1"/>
                <w:sz w:val="22"/>
                <w:szCs w:val="22"/>
              </w:rPr>
              <w:t xml:space="preserve"> </w:t>
            </w:r>
            <w:r w:rsidRPr="00926068">
              <w:rPr>
                <w:rFonts w:ascii="Arial" w:hAnsi="Arial" w:cs="Arial"/>
                <w:bCs/>
                <w:color w:val="000000" w:themeColor="text1"/>
                <w:sz w:val="22"/>
                <w:szCs w:val="22"/>
              </w:rPr>
              <w:t>including water sectors and particularly community-based water syste</w:t>
            </w:r>
            <w:r w:rsidR="00042E5E">
              <w:rPr>
                <w:rFonts w:ascii="Arial" w:hAnsi="Arial" w:cs="Arial"/>
                <w:bCs/>
                <w:color w:val="000000" w:themeColor="text1"/>
                <w:sz w:val="22"/>
                <w:szCs w:val="22"/>
              </w:rPr>
              <w:t>ms</w:t>
            </w:r>
            <w:r w:rsidR="00EC3550">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8"/>
            </w:r>
            <w:r w:rsidRPr="00926068">
              <w:rPr>
                <w:rFonts w:ascii="Arial" w:hAnsi="Arial" w:cs="Arial"/>
                <w:bCs/>
                <w:color w:val="000000" w:themeColor="text1"/>
                <w:sz w:val="22"/>
                <w:szCs w:val="22"/>
              </w:rPr>
              <w:t>High vulnerability, socio-economic challenges, and community-governance arrangements</w:t>
            </w:r>
            <w:r>
              <w:rPr>
                <w:rStyle w:val="FootnoteReference"/>
                <w:rFonts w:ascii="Arial" w:hAnsi="Arial" w:cs="Arial"/>
                <w:bCs/>
                <w:color w:val="000000" w:themeColor="text1"/>
                <w:sz w:val="22"/>
                <w:szCs w:val="22"/>
              </w:rPr>
              <w:footnoteReference w:id="9"/>
            </w:r>
            <w:r w:rsidRPr="00926068">
              <w:rPr>
                <w:rFonts w:ascii="Arial" w:hAnsi="Arial" w:cs="Arial"/>
                <w:bCs/>
                <w:color w:val="000000" w:themeColor="text1"/>
                <w:sz w:val="22"/>
                <w:szCs w:val="22"/>
              </w:rPr>
              <w:t xml:space="preserve"> make these systems a valuable but under-investigated context to explore how transformative adaptation can be operationalised to improve resilience in the real world.</w:t>
            </w:r>
          </w:p>
          <w:p w14:paraId="029D879D" w14:textId="77777777" w:rsidR="00353E9C" w:rsidRDefault="00353E9C" w:rsidP="00706DED">
            <w:pPr>
              <w:jc w:val="both"/>
              <w:rPr>
                <w:rFonts w:ascii="Arial" w:hAnsi="Arial" w:cs="Arial"/>
                <w:b/>
                <w:sz w:val="22"/>
                <w:szCs w:val="22"/>
              </w:rPr>
            </w:pPr>
          </w:p>
          <w:p w14:paraId="3751F5A6" w14:textId="2F9FBDD0" w:rsidR="00167314" w:rsidRDefault="0065012F" w:rsidP="006A1E7B">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167314">
              <w:rPr>
                <w:rFonts w:ascii="Arial" w:hAnsi="Arial" w:cs="Arial"/>
                <w:b/>
                <w:sz w:val="22"/>
                <w:szCs w:val="22"/>
              </w:rPr>
              <w:t>:</w:t>
            </w:r>
          </w:p>
          <w:p w14:paraId="59A6F8C3" w14:textId="77777777" w:rsidR="006A1E7B" w:rsidRPr="006A1E7B" w:rsidRDefault="006A1E7B" w:rsidP="006A1E7B">
            <w:pPr>
              <w:jc w:val="both"/>
              <w:rPr>
                <w:rFonts w:ascii="Arial" w:hAnsi="Arial" w:cs="Arial"/>
                <w:b/>
                <w:sz w:val="22"/>
                <w:szCs w:val="22"/>
              </w:rPr>
            </w:pPr>
          </w:p>
          <w:p w14:paraId="4780B715" w14:textId="77777777" w:rsidR="0001366A" w:rsidRPr="00926068" w:rsidRDefault="0001366A" w:rsidP="0001366A">
            <w:pPr>
              <w:spacing w:before="240" w:line="276" w:lineRule="auto"/>
              <w:jc w:val="both"/>
              <w:rPr>
                <w:rFonts w:ascii="Arial" w:hAnsi="Arial" w:cs="Arial"/>
                <w:bCs/>
                <w:color w:val="000000" w:themeColor="text1"/>
                <w:sz w:val="22"/>
                <w:szCs w:val="22"/>
              </w:rPr>
            </w:pPr>
            <w:r w:rsidRPr="00926068">
              <w:rPr>
                <w:rFonts w:ascii="Arial" w:hAnsi="Arial" w:cs="Arial"/>
                <w:bCs/>
                <w:color w:val="000000" w:themeColor="text1"/>
                <w:sz w:val="22"/>
                <w:szCs w:val="22"/>
              </w:rPr>
              <w:t>The variable sectoral applications of transformative adaptation provide an opportunity to leverage lessons learned to enhance resilience in community-based water services. This research investigates the conceptualisations and applications of transformative adaptation in a range of sectors to identify key insights that can help bridge the gap between theory and practice in this underexplored context.</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3F4C5F3" w14:textId="77777777" w:rsidR="006A1E7B" w:rsidRDefault="006A1E7B" w:rsidP="006A1E7B">
            <w:pPr>
              <w:jc w:val="both"/>
              <w:rPr>
                <w:rFonts w:ascii="Arial" w:hAnsi="Arial" w:cs="Arial"/>
                <w:bCs/>
                <w:sz w:val="22"/>
                <w:szCs w:val="22"/>
              </w:rPr>
            </w:pPr>
          </w:p>
          <w:p w14:paraId="2F3054EA" w14:textId="77777777" w:rsidR="00DE34CB" w:rsidRPr="00926068" w:rsidRDefault="00DE34CB" w:rsidP="00DE34CB">
            <w:pPr>
              <w:spacing w:before="240" w:line="276" w:lineRule="auto"/>
              <w:jc w:val="both"/>
              <w:rPr>
                <w:rFonts w:ascii="Arial" w:hAnsi="Arial" w:cs="Arial"/>
                <w:bCs/>
                <w:color w:val="000000" w:themeColor="text1"/>
                <w:sz w:val="22"/>
                <w:szCs w:val="22"/>
              </w:rPr>
            </w:pPr>
            <w:r w:rsidRPr="00926068">
              <w:rPr>
                <w:rFonts w:ascii="Arial" w:hAnsi="Arial" w:cs="Arial"/>
                <w:bCs/>
                <w:color w:val="000000" w:themeColor="text1"/>
                <w:sz w:val="22"/>
                <w:szCs w:val="22"/>
              </w:rPr>
              <w:t>A semi-systematic literature review has been conducted for 83 peer-reviewed papers exploring different conceptualisations, triggers and applications of transformative adaptation in selected sectors.</w:t>
            </w:r>
          </w:p>
          <w:p w14:paraId="75F83DCC" w14:textId="77777777" w:rsidR="006A1E7B" w:rsidRPr="00D51C52" w:rsidRDefault="006A1E7B" w:rsidP="00706DED">
            <w:pPr>
              <w:jc w:val="both"/>
              <w:rPr>
                <w:rFonts w:ascii="Arial" w:hAnsi="Arial" w:cs="Arial"/>
                <w:bCs/>
                <w:sz w:val="22"/>
                <w:szCs w:val="22"/>
              </w:rPr>
            </w:pPr>
          </w:p>
          <w:p w14:paraId="015EFC6C" w14:textId="77777777" w:rsidR="0065012F" w:rsidRDefault="0065012F" w:rsidP="00706DED">
            <w:pPr>
              <w:jc w:val="both"/>
              <w:rPr>
                <w:rFonts w:ascii="Arial" w:hAnsi="Arial" w:cs="Arial"/>
                <w:bCs/>
                <w:sz w:val="22"/>
                <w:szCs w:val="22"/>
              </w:rPr>
            </w:pPr>
          </w:p>
          <w:p w14:paraId="1F2F4D06" w14:textId="77777777" w:rsidR="008D0FA1" w:rsidRPr="00D51C52" w:rsidRDefault="008D0FA1" w:rsidP="00706DED">
            <w:pPr>
              <w:jc w:val="both"/>
              <w:rPr>
                <w:rFonts w:ascii="Arial" w:hAnsi="Arial" w:cs="Arial"/>
                <w:bCs/>
                <w:sz w:val="22"/>
                <w:szCs w:val="22"/>
              </w:rPr>
            </w:pPr>
          </w:p>
          <w:p w14:paraId="64512189" w14:textId="6FE14B32" w:rsidR="00D914B3" w:rsidRPr="00290E71" w:rsidRDefault="0065012F" w:rsidP="0034465B">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D249278" w14:textId="390C333C" w:rsidR="00E303C3" w:rsidRDefault="00E303C3" w:rsidP="00E303C3">
            <w:pPr>
              <w:spacing w:before="240" w:line="276" w:lineRule="auto"/>
              <w:jc w:val="both"/>
              <w:rPr>
                <w:rFonts w:ascii="Arial" w:hAnsi="Arial" w:cs="Arial"/>
                <w:bCs/>
                <w:color w:val="000000" w:themeColor="text1"/>
                <w:sz w:val="22"/>
                <w:szCs w:val="22"/>
                <w:shd w:val="clear" w:color="auto" w:fill="FFFFFF"/>
              </w:rPr>
            </w:pPr>
            <w:r w:rsidRPr="00926068">
              <w:rPr>
                <w:rFonts w:ascii="Arial" w:hAnsi="Arial" w:cs="Arial"/>
                <w:bCs/>
                <w:color w:val="000000" w:themeColor="text1"/>
                <w:sz w:val="22"/>
                <w:szCs w:val="22"/>
                <w:shd w:val="clear" w:color="auto" w:fill="FFFFFF"/>
              </w:rPr>
              <w:lastRenderedPageBreak/>
              <w:t xml:space="preserve">Our results indicate that across sectors, namely agriculture, food security, urban planning and disaster risk reduction, transformative adaptation is conceptualised as a profound change in the </w:t>
            </w:r>
            <w:r w:rsidRPr="00926068">
              <w:rPr>
                <w:rFonts w:ascii="Arial" w:hAnsi="Arial" w:cs="Arial"/>
                <w:color w:val="000000" w:themeColor="text1"/>
                <w:sz w:val="22"/>
                <w:szCs w:val="22"/>
              </w:rPr>
              <w:t>system's core characteristics</w:t>
            </w:r>
            <w:r w:rsidR="00290E71">
              <w:rPr>
                <w:rFonts w:ascii="Arial" w:hAnsi="Arial" w:cs="Arial"/>
                <w:color w:val="000000" w:themeColor="text1"/>
                <w:sz w:val="22"/>
                <w:szCs w:val="22"/>
              </w:rPr>
              <w:t>.</w:t>
            </w:r>
            <w:r>
              <w:rPr>
                <w:rStyle w:val="FootnoteReference"/>
                <w:rFonts w:ascii="Arial" w:hAnsi="Arial" w:cs="Arial"/>
                <w:color w:val="000000" w:themeColor="text1"/>
                <w:sz w:val="22"/>
                <w:szCs w:val="22"/>
              </w:rPr>
              <w:footnoteReference w:id="10"/>
            </w:r>
            <w:r w:rsidR="001F13AE" w:rsidRPr="001F13AE">
              <w:rPr>
                <w:rFonts w:ascii="Arial" w:hAnsi="Arial" w:cs="Arial"/>
                <w:color w:val="000000" w:themeColor="text1"/>
                <w:sz w:val="22"/>
                <w:szCs w:val="22"/>
                <w:vertAlign w:val="superscript"/>
              </w:rPr>
              <w:t>,</w:t>
            </w:r>
            <w:r w:rsidRPr="001F13AE">
              <w:rPr>
                <w:rStyle w:val="FootnoteReference"/>
                <w:rFonts w:ascii="Arial" w:hAnsi="Arial" w:cs="Arial"/>
                <w:color w:val="000000" w:themeColor="text1"/>
                <w:sz w:val="22"/>
                <w:szCs w:val="22"/>
              </w:rPr>
              <w:footnoteReference w:id="11"/>
            </w:r>
            <w:r w:rsidR="001F13AE" w:rsidRPr="001F13AE">
              <w:rPr>
                <w:rFonts w:ascii="Arial" w:hAnsi="Arial" w:cs="Arial"/>
                <w:color w:val="000000" w:themeColor="text1"/>
                <w:sz w:val="22"/>
                <w:szCs w:val="22"/>
                <w:vertAlign w:val="superscript"/>
              </w:rPr>
              <w:t>,</w:t>
            </w:r>
            <w:r w:rsidRPr="001F13AE">
              <w:rPr>
                <w:rStyle w:val="FootnoteReference"/>
                <w:rFonts w:ascii="Arial" w:hAnsi="Arial" w:cs="Arial"/>
                <w:color w:val="000000" w:themeColor="text1"/>
                <w:sz w:val="22"/>
                <w:szCs w:val="22"/>
              </w:rPr>
              <w:footnoteReference w:id="12"/>
            </w:r>
            <w:r w:rsidR="001F13AE" w:rsidRPr="001F13AE">
              <w:rPr>
                <w:rFonts w:ascii="Arial" w:hAnsi="Arial" w:cs="Arial"/>
                <w:color w:val="000000" w:themeColor="text1"/>
                <w:sz w:val="22"/>
                <w:szCs w:val="22"/>
                <w:vertAlign w:val="superscript"/>
              </w:rPr>
              <w:t>,</w:t>
            </w:r>
            <w:r>
              <w:rPr>
                <w:rStyle w:val="FootnoteReference"/>
                <w:rFonts w:ascii="Arial" w:hAnsi="Arial" w:cs="Arial"/>
                <w:color w:val="000000" w:themeColor="text1"/>
                <w:sz w:val="22"/>
                <w:szCs w:val="22"/>
              </w:rPr>
              <w:footnoteReference w:id="13"/>
            </w:r>
            <w:r w:rsidR="001F13AE">
              <w:rPr>
                <w:rFonts w:ascii="Arial" w:hAnsi="Arial" w:cs="Arial"/>
                <w:color w:val="000000" w:themeColor="text1"/>
                <w:sz w:val="22"/>
                <w:szCs w:val="22"/>
                <w:vertAlign w:val="superscript"/>
              </w:rPr>
              <w:t xml:space="preserve"> </w:t>
            </w:r>
            <w:r w:rsidRPr="00926068">
              <w:rPr>
                <w:rFonts w:ascii="Arial" w:hAnsi="Arial" w:cs="Arial"/>
                <w:bCs/>
                <w:color w:val="000000" w:themeColor="text1"/>
                <w:sz w:val="22"/>
                <w:szCs w:val="22"/>
                <w:shd w:val="clear" w:color="auto" w:fill="FFFFFF"/>
              </w:rPr>
              <w:t>Transformative adaptation in empirical research is often characterised by resource management shifts such as agroforestry replacing monoculture</w:t>
            </w:r>
            <w:r w:rsidR="001F13AE">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14"/>
            </w:r>
            <w:r>
              <w:rPr>
                <w:rFonts w:ascii="Arial" w:hAnsi="Arial" w:cs="Arial"/>
                <w:bCs/>
                <w:color w:val="000000" w:themeColor="text1"/>
                <w:sz w:val="22"/>
                <w:szCs w:val="22"/>
                <w:shd w:val="clear" w:color="auto" w:fill="FFFFFF"/>
              </w:rPr>
              <w:t xml:space="preserve"> </w:t>
            </w:r>
            <w:r w:rsidRPr="00926068">
              <w:rPr>
                <w:rFonts w:ascii="Arial" w:hAnsi="Arial" w:cs="Arial"/>
                <w:bCs/>
                <w:color w:val="000000" w:themeColor="text1"/>
                <w:sz w:val="22"/>
                <w:szCs w:val="22"/>
                <w:shd w:val="clear" w:color="auto" w:fill="FFFFFF"/>
              </w:rPr>
              <w:t>governance innovations</w:t>
            </w:r>
            <w:r>
              <w:rPr>
                <w:rStyle w:val="FootnoteReference"/>
                <w:rFonts w:ascii="Arial" w:hAnsi="Arial" w:cs="Arial"/>
                <w:bCs/>
                <w:color w:val="000000" w:themeColor="text1"/>
                <w:sz w:val="22"/>
                <w:szCs w:val="22"/>
                <w:shd w:val="clear" w:color="auto" w:fill="FFFFFF"/>
              </w:rPr>
              <w:footnoteReference w:id="15"/>
            </w:r>
            <w:r w:rsidRPr="00926068">
              <w:rPr>
                <w:rFonts w:ascii="Arial" w:hAnsi="Arial" w:cs="Arial"/>
                <w:bCs/>
                <w:color w:val="000000" w:themeColor="text1"/>
                <w:sz w:val="22"/>
                <w:szCs w:val="22"/>
                <w:shd w:val="clear" w:color="auto" w:fill="FFFFFF"/>
              </w:rPr>
              <w:t xml:space="preserve"> (e.g. participatory planning for urban adaptation), and institutional reforms, particularly in climate finance</w:t>
            </w:r>
            <w:r w:rsidR="001F13AE">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16"/>
            </w:r>
            <w:r w:rsidR="001F13AE" w:rsidRPr="001F13AE">
              <w:rPr>
                <w:rFonts w:ascii="Arial" w:hAnsi="Arial" w:cs="Arial"/>
                <w:bCs/>
                <w:color w:val="000000" w:themeColor="text1"/>
                <w:sz w:val="22"/>
                <w:szCs w:val="22"/>
                <w:shd w:val="clear" w:color="auto" w:fill="FFFFFF"/>
                <w:vertAlign w:val="superscript"/>
              </w:rPr>
              <w:t>,</w:t>
            </w:r>
            <w:r>
              <w:rPr>
                <w:rFonts w:ascii="Arial" w:hAnsi="Arial" w:cs="Arial"/>
                <w:bCs/>
                <w:color w:val="000000" w:themeColor="text1"/>
                <w:sz w:val="22"/>
                <w:szCs w:val="22"/>
                <w:shd w:val="clear" w:color="auto" w:fill="FFFFFF"/>
              </w:rPr>
              <w:t xml:space="preserve"> </w:t>
            </w:r>
            <w:r>
              <w:rPr>
                <w:rStyle w:val="FootnoteReference"/>
                <w:rFonts w:ascii="Arial" w:hAnsi="Arial" w:cs="Arial"/>
                <w:bCs/>
                <w:color w:val="000000" w:themeColor="text1"/>
                <w:sz w:val="22"/>
                <w:szCs w:val="22"/>
                <w:shd w:val="clear" w:color="auto" w:fill="FFFFFF"/>
              </w:rPr>
              <w:footnoteReference w:id="17"/>
            </w:r>
          </w:p>
          <w:p w14:paraId="6CA27FB2" w14:textId="0CE036F8" w:rsidR="00D42672" w:rsidRPr="00926068" w:rsidRDefault="00D42672" w:rsidP="00D42672">
            <w:pPr>
              <w:spacing w:before="240" w:line="276" w:lineRule="auto"/>
              <w:jc w:val="both"/>
              <w:rPr>
                <w:rFonts w:ascii="Arial" w:hAnsi="Arial" w:cs="Arial"/>
                <w:bCs/>
                <w:color w:val="000000" w:themeColor="text1"/>
                <w:sz w:val="22"/>
                <w:szCs w:val="22"/>
                <w:shd w:val="clear" w:color="auto" w:fill="FFFFFF"/>
              </w:rPr>
            </w:pPr>
            <w:r w:rsidRPr="00926068">
              <w:rPr>
                <w:rFonts w:ascii="Arial" w:hAnsi="Arial" w:cs="Arial"/>
                <w:bCs/>
                <w:color w:val="000000" w:themeColor="text1"/>
                <w:sz w:val="22"/>
                <w:szCs w:val="22"/>
                <w:shd w:val="clear" w:color="auto" w:fill="FFFFFF"/>
              </w:rPr>
              <w:t>Triggers include situations where incremental adaptation is insufficient</w:t>
            </w:r>
            <w:r w:rsidR="001F13AE">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18"/>
            </w:r>
            <w:r w:rsidRPr="00926068">
              <w:rPr>
                <w:rFonts w:ascii="Arial" w:hAnsi="Arial" w:cs="Arial"/>
                <w:bCs/>
                <w:color w:val="000000" w:themeColor="text1"/>
                <w:sz w:val="22"/>
                <w:szCs w:val="22"/>
                <w:shd w:val="clear" w:color="auto" w:fill="FFFFFF"/>
              </w:rPr>
              <w:t xml:space="preserve"> For instance, accelerating environmental degradation</w:t>
            </w:r>
            <w:r>
              <w:rPr>
                <w:rStyle w:val="FootnoteReference"/>
                <w:rFonts w:ascii="Arial" w:hAnsi="Arial" w:cs="Arial"/>
                <w:bCs/>
                <w:color w:val="000000" w:themeColor="text1"/>
                <w:sz w:val="22"/>
                <w:szCs w:val="22"/>
                <w:shd w:val="clear" w:color="auto" w:fill="FFFFFF"/>
              </w:rPr>
              <w:footnoteReference w:id="19"/>
            </w:r>
            <w:r w:rsidRPr="00926068">
              <w:rPr>
                <w:rFonts w:ascii="Arial" w:hAnsi="Arial" w:cs="Arial"/>
                <w:bCs/>
                <w:color w:val="000000" w:themeColor="text1"/>
                <w:sz w:val="22"/>
                <w:szCs w:val="22"/>
                <w:shd w:val="clear" w:color="auto" w:fill="FFFFFF"/>
              </w:rPr>
              <w:t>, social-ecological collapse</w:t>
            </w:r>
            <w:r w:rsidR="001F13AE">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20"/>
            </w:r>
            <w:r w:rsidRPr="00926068">
              <w:rPr>
                <w:rFonts w:ascii="Arial" w:hAnsi="Arial" w:cs="Arial"/>
                <w:bCs/>
                <w:color w:val="000000" w:themeColor="text1"/>
                <w:sz w:val="22"/>
                <w:szCs w:val="22"/>
                <w:shd w:val="clear" w:color="auto" w:fill="FFFFFF"/>
              </w:rPr>
              <w:t xml:space="preserve"> including forced relocation in coastal settlements</w:t>
            </w:r>
            <w:r w:rsidR="001F13AE">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21"/>
            </w:r>
            <w:r w:rsidRPr="00926068">
              <w:rPr>
                <w:rFonts w:ascii="Arial" w:hAnsi="Arial" w:cs="Arial"/>
                <w:bCs/>
                <w:color w:val="000000" w:themeColor="text1"/>
                <w:sz w:val="22"/>
                <w:szCs w:val="22"/>
                <w:shd w:val="clear" w:color="auto" w:fill="FFFFFF"/>
              </w:rPr>
              <w:t xml:space="preserve"> or governance failures</w:t>
            </w:r>
            <w:r>
              <w:rPr>
                <w:rStyle w:val="FootnoteReference"/>
                <w:rFonts w:ascii="Arial" w:hAnsi="Arial" w:cs="Arial"/>
                <w:bCs/>
                <w:color w:val="000000" w:themeColor="text1"/>
                <w:sz w:val="22"/>
                <w:szCs w:val="22"/>
                <w:shd w:val="clear" w:color="auto" w:fill="FFFFFF"/>
              </w:rPr>
              <w:footnoteReference w:id="22"/>
            </w:r>
            <w:r w:rsidRPr="00926068">
              <w:rPr>
                <w:rFonts w:ascii="Arial" w:hAnsi="Arial" w:cs="Arial"/>
                <w:bCs/>
                <w:color w:val="000000" w:themeColor="text1"/>
                <w:sz w:val="22"/>
                <w:szCs w:val="22"/>
                <w:shd w:val="clear" w:color="auto" w:fill="FFFFFF"/>
              </w:rPr>
              <w:t xml:space="preserve"> (</w:t>
            </w:r>
            <w:proofErr w:type="spellStart"/>
            <w:r w:rsidRPr="00926068">
              <w:rPr>
                <w:rFonts w:ascii="Arial" w:hAnsi="Arial" w:cs="Arial"/>
                <w:bCs/>
                <w:color w:val="000000" w:themeColor="text1"/>
                <w:sz w:val="22"/>
                <w:szCs w:val="22"/>
                <w:shd w:val="clear" w:color="auto" w:fill="FFFFFF"/>
              </w:rPr>
              <w:t>e.g</w:t>
            </w:r>
            <w:proofErr w:type="spellEnd"/>
            <w:r>
              <w:rPr>
                <w:rFonts w:ascii="Arial" w:hAnsi="Arial" w:cs="Arial"/>
                <w:bCs/>
                <w:color w:val="000000" w:themeColor="text1"/>
                <w:sz w:val="22"/>
                <w:szCs w:val="22"/>
                <w:shd w:val="clear" w:color="auto" w:fill="FFFFFF"/>
              </w:rPr>
              <w:t>;</w:t>
            </w:r>
            <w:r w:rsidRPr="00926068">
              <w:rPr>
                <w:rFonts w:ascii="Arial" w:hAnsi="Arial" w:cs="Arial"/>
                <w:bCs/>
                <w:color w:val="000000" w:themeColor="text1"/>
                <w:sz w:val="22"/>
                <w:szCs w:val="22"/>
                <w:shd w:val="clear" w:color="auto" w:fill="FFFFFF"/>
              </w:rPr>
              <w:t xml:space="preserve"> institutional integration lacking in water governance). </w:t>
            </w:r>
          </w:p>
          <w:p w14:paraId="3109BBA3" w14:textId="4539364D" w:rsidR="00D42672" w:rsidRDefault="00D42672" w:rsidP="00D42672">
            <w:pPr>
              <w:spacing w:before="240" w:line="276" w:lineRule="auto"/>
              <w:jc w:val="both"/>
              <w:rPr>
                <w:rFonts w:ascii="Arial" w:hAnsi="Arial" w:cs="Arial"/>
                <w:bCs/>
                <w:color w:val="000000" w:themeColor="text1"/>
                <w:sz w:val="22"/>
                <w:szCs w:val="22"/>
                <w:shd w:val="clear" w:color="auto" w:fill="FFFFFF"/>
              </w:rPr>
            </w:pPr>
            <w:r w:rsidRPr="004A4123">
              <w:rPr>
                <w:rFonts w:ascii="Arial" w:hAnsi="Arial" w:cs="Arial"/>
                <w:bCs/>
                <w:color w:val="000000" w:themeColor="text1"/>
                <w:sz w:val="22"/>
                <w:szCs w:val="22"/>
                <w:shd w:val="clear" w:color="auto" w:fill="FFFFFF"/>
              </w:rPr>
              <w:t xml:space="preserve">In practice, </w:t>
            </w:r>
            <w:r>
              <w:rPr>
                <w:rFonts w:ascii="Arial" w:hAnsi="Arial" w:cs="Arial"/>
                <w:bCs/>
                <w:color w:val="000000" w:themeColor="text1"/>
                <w:sz w:val="22"/>
                <w:szCs w:val="22"/>
                <w:shd w:val="clear" w:color="auto" w:fill="FFFFFF"/>
              </w:rPr>
              <w:t>t</w:t>
            </w:r>
            <w:r w:rsidRPr="004A4123">
              <w:rPr>
                <w:rFonts w:ascii="Arial" w:hAnsi="Arial" w:cs="Arial"/>
                <w:bCs/>
                <w:color w:val="000000" w:themeColor="text1"/>
                <w:sz w:val="22"/>
                <w:szCs w:val="22"/>
                <w:shd w:val="clear" w:color="auto" w:fill="FFFFFF"/>
              </w:rPr>
              <w:t>ransformational adaptation has been applied in many forms, including large-scale redesign of infrastructure</w:t>
            </w:r>
            <w:r>
              <w:rPr>
                <w:rFonts w:ascii="Arial" w:hAnsi="Arial" w:cs="Arial"/>
                <w:bCs/>
                <w:color w:val="000000" w:themeColor="text1"/>
                <w:sz w:val="22"/>
                <w:szCs w:val="22"/>
                <w:shd w:val="clear" w:color="auto" w:fill="FFFFFF"/>
              </w:rPr>
              <w:t>,</w:t>
            </w:r>
            <w:r>
              <w:rPr>
                <w:rStyle w:val="FootnoteReference"/>
                <w:rFonts w:ascii="Arial" w:hAnsi="Arial" w:cs="Arial"/>
                <w:bCs/>
                <w:color w:val="000000" w:themeColor="text1"/>
                <w:sz w:val="22"/>
                <w:szCs w:val="22"/>
                <w:shd w:val="clear" w:color="auto" w:fill="FFFFFF"/>
              </w:rPr>
              <w:footnoteReference w:id="23"/>
            </w:r>
            <w:r w:rsidRPr="004A4123">
              <w:rPr>
                <w:rFonts w:ascii="Arial" w:hAnsi="Arial" w:cs="Arial"/>
                <w:bCs/>
                <w:color w:val="000000" w:themeColor="text1"/>
                <w:sz w:val="22"/>
                <w:szCs w:val="22"/>
                <w:shd w:val="clear" w:color="auto" w:fill="FFFFFF"/>
              </w:rPr>
              <w:t xml:space="preserve"> </w:t>
            </w:r>
            <w:r>
              <w:rPr>
                <w:rFonts w:ascii="Arial" w:hAnsi="Arial" w:cs="Arial"/>
                <w:bCs/>
                <w:color w:val="000000" w:themeColor="text1"/>
                <w:sz w:val="22"/>
                <w:szCs w:val="22"/>
                <w:shd w:val="clear" w:color="auto" w:fill="FFFFFF"/>
              </w:rPr>
              <w:t xml:space="preserve">reshaping </w:t>
            </w:r>
            <w:r w:rsidRPr="004A4123">
              <w:rPr>
                <w:rFonts w:ascii="Arial" w:hAnsi="Arial" w:cs="Arial"/>
                <w:bCs/>
                <w:color w:val="000000" w:themeColor="text1"/>
                <w:sz w:val="22"/>
                <w:szCs w:val="22"/>
                <w:shd w:val="clear" w:color="auto" w:fill="FFFFFF"/>
              </w:rPr>
              <w:t>of social and economic structures</w:t>
            </w:r>
            <w:r>
              <w:rPr>
                <w:rStyle w:val="FootnoteReference"/>
                <w:rFonts w:ascii="Arial" w:hAnsi="Arial" w:cs="Arial"/>
                <w:bCs/>
                <w:color w:val="000000" w:themeColor="text1"/>
                <w:sz w:val="22"/>
                <w:szCs w:val="22"/>
                <w:shd w:val="clear" w:color="auto" w:fill="FFFFFF"/>
              </w:rPr>
              <w:footnoteReference w:id="24"/>
            </w:r>
            <w:r>
              <w:rPr>
                <w:rFonts w:ascii="Arial" w:hAnsi="Arial" w:cs="Arial"/>
                <w:bCs/>
                <w:color w:val="000000" w:themeColor="text1"/>
                <w:sz w:val="22"/>
                <w:szCs w:val="22"/>
                <w:shd w:val="clear" w:color="auto" w:fill="FFFFFF"/>
              </w:rPr>
              <w:t xml:space="preserve">(e.g. </w:t>
            </w:r>
            <w:r w:rsidRPr="004A4123">
              <w:rPr>
                <w:rFonts w:ascii="Arial" w:hAnsi="Arial" w:cs="Arial"/>
                <w:bCs/>
                <w:color w:val="000000" w:themeColor="text1"/>
                <w:sz w:val="22"/>
                <w:szCs w:val="22"/>
                <w:shd w:val="clear" w:color="auto" w:fill="FFFFFF"/>
              </w:rPr>
              <w:t>land-use transformations in drought-affected areas</w:t>
            </w:r>
            <w:r>
              <w:rPr>
                <w:rFonts w:ascii="Arial" w:hAnsi="Arial" w:cs="Arial"/>
                <w:bCs/>
                <w:color w:val="000000" w:themeColor="text1"/>
                <w:sz w:val="22"/>
                <w:szCs w:val="22"/>
                <w:shd w:val="clear" w:color="auto" w:fill="FFFFFF"/>
              </w:rPr>
              <w:t>)</w:t>
            </w:r>
            <w:r w:rsidRPr="004A4123">
              <w:rPr>
                <w:rFonts w:ascii="Arial" w:hAnsi="Arial" w:cs="Arial"/>
                <w:bCs/>
                <w:color w:val="000000" w:themeColor="text1"/>
                <w:sz w:val="22"/>
                <w:szCs w:val="22"/>
                <w:shd w:val="clear" w:color="auto" w:fill="FFFFFF"/>
              </w:rPr>
              <w:t xml:space="preserve">, and </w:t>
            </w:r>
            <w:r>
              <w:rPr>
                <w:rFonts w:ascii="Arial" w:hAnsi="Arial" w:cs="Arial"/>
                <w:bCs/>
                <w:color w:val="000000" w:themeColor="text1"/>
                <w:sz w:val="22"/>
                <w:szCs w:val="22"/>
                <w:shd w:val="clear" w:color="auto" w:fill="FFFFFF"/>
              </w:rPr>
              <w:t xml:space="preserve">new </w:t>
            </w:r>
            <w:r w:rsidRPr="004A4123">
              <w:rPr>
                <w:rFonts w:ascii="Arial" w:hAnsi="Arial" w:cs="Arial"/>
                <w:bCs/>
                <w:color w:val="000000" w:themeColor="text1"/>
                <w:sz w:val="22"/>
                <w:szCs w:val="22"/>
                <w:shd w:val="clear" w:color="auto" w:fill="FFFFFF"/>
              </w:rPr>
              <w:t>arrangement</w:t>
            </w:r>
            <w:r>
              <w:rPr>
                <w:rFonts w:ascii="Arial" w:hAnsi="Arial" w:cs="Arial"/>
                <w:bCs/>
                <w:color w:val="000000" w:themeColor="text1"/>
                <w:sz w:val="22"/>
                <w:szCs w:val="22"/>
                <w:shd w:val="clear" w:color="auto" w:fill="FFFFFF"/>
              </w:rPr>
              <w:t>s</w:t>
            </w:r>
            <w:r w:rsidRPr="004A4123">
              <w:rPr>
                <w:rFonts w:ascii="Arial" w:hAnsi="Arial" w:cs="Arial"/>
                <w:bCs/>
                <w:color w:val="000000" w:themeColor="text1"/>
                <w:sz w:val="22"/>
                <w:szCs w:val="22"/>
                <w:shd w:val="clear" w:color="auto" w:fill="FFFFFF"/>
              </w:rPr>
              <w:t xml:space="preserve"> of governance.</w:t>
            </w:r>
            <w:r>
              <w:rPr>
                <w:rStyle w:val="FootnoteReference"/>
                <w:rFonts w:ascii="Arial" w:hAnsi="Arial" w:cs="Arial"/>
                <w:bCs/>
                <w:color w:val="000000" w:themeColor="text1"/>
                <w:sz w:val="22"/>
                <w:szCs w:val="22"/>
                <w:shd w:val="clear" w:color="auto" w:fill="FFFFFF"/>
              </w:rPr>
              <w:footnoteReference w:id="25"/>
            </w:r>
            <w:r w:rsidRPr="004A4123">
              <w:rPr>
                <w:rFonts w:ascii="Arial" w:hAnsi="Arial" w:cs="Arial"/>
                <w:bCs/>
                <w:color w:val="000000" w:themeColor="text1"/>
                <w:sz w:val="22"/>
                <w:szCs w:val="22"/>
                <w:shd w:val="clear" w:color="auto" w:fill="FFFFFF"/>
              </w:rPr>
              <w:t xml:space="preserve"> </w:t>
            </w:r>
          </w:p>
          <w:p w14:paraId="5D702C50" w14:textId="77777777" w:rsidR="00D42672" w:rsidRPr="00926068" w:rsidRDefault="00D42672" w:rsidP="00D42672">
            <w:pPr>
              <w:spacing w:before="240" w:line="276" w:lineRule="auto"/>
              <w:jc w:val="both"/>
              <w:rPr>
                <w:rFonts w:ascii="Arial" w:hAnsi="Arial" w:cs="Arial"/>
                <w:bCs/>
                <w:color w:val="000000" w:themeColor="text1"/>
                <w:sz w:val="22"/>
                <w:szCs w:val="22"/>
                <w:shd w:val="clear" w:color="auto" w:fill="FFFFFF"/>
              </w:rPr>
            </w:pPr>
            <w:r w:rsidRPr="004A4123">
              <w:rPr>
                <w:rFonts w:ascii="Arial" w:hAnsi="Arial" w:cs="Arial"/>
                <w:bCs/>
                <w:color w:val="000000" w:themeColor="text1"/>
                <w:sz w:val="22"/>
                <w:szCs w:val="22"/>
                <w:shd w:val="clear" w:color="auto" w:fill="FFFFFF"/>
              </w:rPr>
              <w:t xml:space="preserve">Addressing the </w:t>
            </w:r>
            <w:r>
              <w:rPr>
                <w:rFonts w:ascii="Arial" w:hAnsi="Arial" w:cs="Arial"/>
                <w:bCs/>
                <w:color w:val="000000" w:themeColor="text1"/>
                <w:sz w:val="22"/>
                <w:szCs w:val="22"/>
                <w:shd w:val="clear" w:color="auto" w:fill="FFFFFF"/>
              </w:rPr>
              <w:t xml:space="preserve">power </w:t>
            </w:r>
            <w:r w:rsidRPr="004A4123">
              <w:rPr>
                <w:rFonts w:ascii="Arial" w:hAnsi="Arial" w:cs="Arial"/>
                <w:bCs/>
                <w:color w:val="000000" w:themeColor="text1"/>
                <w:sz w:val="22"/>
                <w:szCs w:val="22"/>
                <w:shd w:val="clear" w:color="auto" w:fill="FFFFFF"/>
              </w:rPr>
              <w:t>structures, changing institutional norms, and incorporating social justice perspectives</w:t>
            </w:r>
            <w:r>
              <w:rPr>
                <w:rStyle w:val="FootnoteReference"/>
                <w:rFonts w:ascii="Arial" w:hAnsi="Arial" w:cs="Arial"/>
                <w:bCs/>
                <w:color w:val="000000" w:themeColor="text1"/>
                <w:sz w:val="22"/>
                <w:szCs w:val="22"/>
                <w:shd w:val="clear" w:color="auto" w:fill="FFFFFF"/>
              </w:rPr>
              <w:footnoteReference w:id="26"/>
            </w:r>
            <w:r w:rsidRPr="004A4123">
              <w:rPr>
                <w:rFonts w:ascii="Arial" w:hAnsi="Arial" w:cs="Arial"/>
                <w:bCs/>
                <w:color w:val="000000" w:themeColor="text1"/>
                <w:sz w:val="22"/>
                <w:szCs w:val="22"/>
                <w:shd w:val="clear" w:color="auto" w:fill="FFFFFF"/>
              </w:rPr>
              <w:t xml:space="preserve"> make transformational adaptation particularly important for </w:t>
            </w:r>
            <w:r w:rsidRPr="00926068">
              <w:rPr>
                <w:rFonts w:ascii="Arial" w:hAnsi="Arial" w:cs="Arial"/>
                <w:bCs/>
                <w:color w:val="000000" w:themeColor="text1"/>
                <w:sz w:val="22"/>
                <w:szCs w:val="22"/>
              </w:rPr>
              <w:t>community-managed water services</w:t>
            </w:r>
            <w:r w:rsidRPr="004A4123">
              <w:rPr>
                <w:rFonts w:ascii="Arial" w:hAnsi="Arial" w:cs="Arial"/>
                <w:bCs/>
                <w:color w:val="000000" w:themeColor="text1"/>
                <w:sz w:val="22"/>
                <w:szCs w:val="22"/>
                <w:shd w:val="clear" w:color="auto" w:fill="FFFFFF"/>
              </w:rPr>
              <w:t xml:space="preserve">, where the resilience of these systems depends </w:t>
            </w:r>
            <w:r>
              <w:rPr>
                <w:rFonts w:ascii="Arial" w:hAnsi="Arial" w:cs="Arial"/>
                <w:bCs/>
                <w:color w:val="000000" w:themeColor="text1"/>
                <w:sz w:val="22"/>
                <w:szCs w:val="22"/>
                <w:shd w:val="clear" w:color="auto" w:fill="FFFFFF"/>
              </w:rPr>
              <w:t xml:space="preserve">on </w:t>
            </w:r>
            <w:r w:rsidRPr="00926068">
              <w:rPr>
                <w:rFonts w:ascii="Arial" w:hAnsi="Arial" w:cs="Arial"/>
                <w:bCs/>
                <w:color w:val="000000" w:themeColor="text1"/>
                <w:sz w:val="22"/>
                <w:szCs w:val="22"/>
              </w:rPr>
              <w:t>governance flexibility and community agency</w:t>
            </w:r>
            <w:r>
              <w:rPr>
                <w:rFonts w:ascii="Arial" w:hAnsi="Arial" w:cs="Arial"/>
                <w:bCs/>
                <w:color w:val="000000" w:themeColor="text1"/>
                <w:sz w:val="22"/>
                <w:szCs w:val="22"/>
              </w:rPr>
              <w:t xml:space="preserve"> besides </w:t>
            </w:r>
            <w:r w:rsidRPr="004A4123">
              <w:rPr>
                <w:rFonts w:ascii="Arial" w:hAnsi="Arial" w:cs="Arial"/>
                <w:bCs/>
                <w:color w:val="000000" w:themeColor="text1"/>
                <w:sz w:val="22"/>
                <w:szCs w:val="22"/>
                <w:shd w:val="clear" w:color="auto" w:fill="FFFFFF"/>
              </w:rPr>
              <w:t>the infrastructure</w:t>
            </w:r>
            <w:r>
              <w:rPr>
                <w:rFonts w:ascii="Arial" w:hAnsi="Arial" w:cs="Arial"/>
                <w:bCs/>
                <w:color w:val="000000" w:themeColor="text1"/>
                <w:sz w:val="22"/>
                <w:szCs w:val="22"/>
                <w:shd w:val="clear" w:color="auto" w:fill="FFFFFF"/>
              </w:rPr>
              <w:t>.</w:t>
            </w:r>
          </w:p>
          <w:p w14:paraId="3360D992" w14:textId="2E3CCB9E" w:rsidR="00D42672" w:rsidRPr="00926068" w:rsidRDefault="00D42672" w:rsidP="00D42672">
            <w:pPr>
              <w:spacing w:before="240" w:line="276" w:lineRule="auto"/>
              <w:jc w:val="both"/>
              <w:rPr>
                <w:rFonts w:ascii="Arial" w:hAnsi="Arial" w:cs="Arial"/>
                <w:bCs/>
                <w:color w:val="000000" w:themeColor="text1"/>
                <w:sz w:val="22"/>
                <w:szCs w:val="22"/>
              </w:rPr>
            </w:pPr>
            <w:r w:rsidRPr="00926068">
              <w:rPr>
                <w:rFonts w:ascii="Arial" w:hAnsi="Arial" w:cs="Arial"/>
                <w:bCs/>
                <w:color w:val="000000" w:themeColor="text1"/>
                <w:sz w:val="22"/>
                <w:szCs w:val="22"/>
              </w:rPr>
              <w:t>Embedded institutional change and multi-level governance in this context are essential. Adaptation must arise through experimentation and local learning, not through external imposition</w:t>
            </w:r>
            <w:r w:rsidR="002B5072">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27"/>
            </w:r>
            <w:r w:rsidR="002B5072">
              <w:rPr>
                <w:rFonts w:ascii="Arial" w:hAnsi="Arial" w:cs="Arial"/>
                <w:bCs/>
                <w:color w:val="000000" w:themeColor="text1"/>
                <w:sz w:val="22"/>
                <w:szCs w:val="22"/>
              </w:rPr>
              <w:t xml:space="preserve"> </w:t>
            </w:r>
            <w:r w:rsidRPr="00926068">
              <w:rPr>
                <w:rFonts w:ascii="Arial" w:hAnsi="Arial" w:cs="Arial"/>
                <w:bCs/>
                <w:color w:val="000000" w:themeColor="text1"/>
                <w:sz w:val="22"/>
                <w:szCs w:val="22"/>
              </w:rPr>
              <w:t>Lessons from agriculture indicate that shifts such as agroforestry are possible without dismantling existing systems</w:t>
            </w:r>
            <w:r w:rsidR="007F0A8C">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28"/>
            </w:r>
          </w:p>
          <w:p w14:paraId="18595618" w14:textId="4346734F" w:rsidR="006A1E7B" w:rsidRPr="00D42672" w:rsidRDefault="00D42672" w:rsidP="00D42672">
            <w:pPr>
              <w:spacing w:before="240" w:line="276" w:lineRule="auto"/>
              <w:jc w:val="both"/>
              <w:rPr>
                <w:rFonts w:ascii="Arial" w:hAnsi="Arial" w:cs="Arial"/>
                <w:bCs/>
                <w:color w:val="000000" w:themeColor="text1"/>
                <w:sz w:val="22"/>
                <w:szCs w:val="22"/>
              </w:rPr>
            </w:pPr>
            <w:r w:rsidRPr="00926068">
              <w:rPr>
                <w:rFonts w:ascii="Arial" w:hAnsi="Arial" w:cs="Arial"/>
                <w:bCs/>
                <w:color w:val="000000" w:themeColor="text1"/>
                <w:sz w:val="22"/>
                <w:szCs w:val="22"/>
              </w:rPr>
              <w:lastRenderedPageBreak/>
              <w:t xml:space="preserve">Therefore, community autonomy is crucial. </w:t>
            </w:r>
            <w:r>
              <w:rPr>
                <w:rFonts w:ascii="Arial" w:hAnsi="Arial" w:cs="Arial"/>
                <w:bCs/>
                <w:color w:val="000000" w:themeColor="text1"/>
                <w:sz w:val="22"/>
                <w:szCs w:val="22"/>
              </w:rPr>
              <w:t>T</w:t>
            </w:r>
            <w:r w:rsidRPr="00926068">
              <w:rPr>
                <w:rFonts w:ascii="Arial" w:hAnsi="Arial" w:cs="Arial"/>
                <w:bCs/>
                <w:color w:val="000000" w:themeColor="text1"/>
                <w:sz w:val="22"/>
                <w:szCs w:val="22"/>
              </w:rPr>
              <w:t xml:space="preserve">op-down measures </w:t>
            </w:r>
            <w:r>
              <w:rPr>
                <w:rFonts w:ascii="Arial" w:hAnsi="Arial" w:cs="Arial"/>
                <w:bCs/>
                <w:color w:val="000000" w:themeColor="text1"/>
                <w:sz w:val="22"/>
                <w:szCs w:val="22"/>
              </w:rPr>
              <w:t>have been addressed by c</w:t>
            </w:r>
            <w:r w:rsidRPr="00926068">
              <w:rPr>
                <w:rFonts w:ascii="Arial" w:hAnsi="Arial" w:cs="Arial"/>
                <w:bCs/>
                <w:color w:val="000000" w:themeColor="text1"/>
                <w:sz w:val="22"/>
                <w:szCs w:val="22"/>
              </w:rPr>
              <w:t>ommunities</w:t>
            </w:r>
            <w:r>
              <w:rPr>
                <w:rFonts w:ascii="Arial" w:hAnsi="Arial" w:cs="Arial"/>
                <w:bCs/>
                <w:color w:val="000000" w:themeColor="text1"/>
                <w:sz w:val="22"/>
                <w:szCs w:val="22"/>
              </w:rPr>
              <w:t xml:space="preserve">, as seen in urban resilience, </w:t>
            </w:r>
            <w:r w:rsidRPr="00926068">
              <w:rPr>
                <w:rFonts w:ascii="Arial" w:hAnsi="Arial" w:cs="Arial"/>
                <w:bCs/>
                <w:color w:val="000000" w:themeColor="text1"/>
                <w:sz w:val="22"/>
                <w:szCs w:val="22"/>
              </w:rPr>
              <w:t>through</w:t>
            </w:r>
            <w:r>
              <w:rPr>
                <w:rFonts w:ascii="Arial" w:hAnsi="Arial" w:cs="Arial"/>
                <w:bCs/>
                <w:color w:val="000000" w:themeColor="text1"/>
                <w:sz w:val="22"/>
                <w:szCs w:val="22"/>
              </w:rPr>
              <w:t xml:space="preserve"> the</w:t>
            </w:r>
            <w:r w:rsidRPr="00926068">
              <w:rPr>
                <w:rFonts w:ascii="Arial" w:hAnsi="Arial" w:cs="Arial"/>
                <w:bCs/>
                <w:color w:val="000000" w:themeColor="text1"/>
                <w:sz w:val="22"/>
                <w:szCs w:val="22"/>
              </w:rPr>
              <w:t xml:space="preserve"> participatory decision-making</w:t>
            </w:r>
            <w:r>
              <w:rPr>
                <w:rFonts w:ascii="Arial" w:hAnsi="Arial" w:cs="Arial"/>
                <w:bCs/>
                <w:color w:val="000000" w:themeColor="text1"/>
                <w:sz w:val="22"/>
                <w:szCs w:val="22"/>
              </w:rPr>
              <w:t xml:space="preserve"> approach</w:t>
            </w:r>
            <w:r w:rsidRPr="00926068">
              <w:rPr>
                <w:rFonts w:ascii="Arial" w:hAnsi="Arial" w:cs="Arial"/>
                <w:bCs/>
                <w:color w:val="000000" w:themeColor="text1"/>
                <w:sz w:val="22"/>
                <w:szCs w:val="22"/>
              </w:rPr>
              <w:t xml:space="preserve">. Adopting this </w:t>
            </w:r>
            <w:r>
              <w:rPr>
                <w:rFonts w:ascii="Arial" w:hAnsi="Arial" w:cs="Arial"/>
                <w:bCs/>
                <w:color w:val="000000" w:themeColor="text1"/>
                <w:sz w:val="22"/>
                <w:szCs w:val="22"/>
              </w:rPr>
              <w:t>approach</w:t>
            </w:r>
            <w:r w:rsidRPr="00926068">
              <w:rPr>
                <w:rFonts w:ascii="Arial" w:hAnsi="Arial" w:cs="Arial"/>
                <w:bCs/>
                <w:color w:val="000000" w:themeColor="text1"/>
                <w:sz w:val="22"/>
                <w:szCs w:val="22"/>
              </w:rPr>
              <w:t xml:space="preserve"> to water services can enhance resilience through local governance innovations instead of externally imposed policies</w:t>
            </w:r>
            <w:r w:rsidR="002B5072">
              <w:rPr>
                <w:rFonts w:ascii="Arial" w:hAnsi="Arial" w:cs="Arial"/>
                <w:bCs/>
                <w:color w:val="000000" w:themeColor="text1"/>
                <w:sz w:val="22"/>
                <w:szCs w:val="22"/>
              </w:rPr>
              <w:t>.</w:t>
            </w:r>
            <w:r>
              <w:rPr>
                <w:rStyle w:val="FootnoteReference"/>
                <w:rFonts w:ascii="Arial" w:hAnsi="Arial" w:cs="Arial"/>
                <w:bCs/>
                <w:color w:val="000000" w:themeColor="text1"/>
                <w:sz w:val="22"/>
                <w:szCs w:val="22"/>
              </w:rPr>
              <w:footnoteReference w:id="29"/>
            </w:r>
            <w:r w:rsidR="002B5072" w:rsidRPr="002B5072">
              <w:rPr>
                <w:rFonts w:ascii="Arial" w:hAnsi="Arial" w:cs="Arial"/>
                <w:bCs/>
                <w:color w:val="000000" w:themeColor="text1"/>
                <w:sz w:val="22"/>
                <w:szCs w:val="22"/>
                <w:vertAlign w:val="superscript"/>
              </w:rPr>
              <w:t>,</w:t>
            </w:r>
            <w:r>
              <w:rPr>
                <w:rStyle w:val="FootnoteReference"/>
                <w:rFonts w:ascii="Arial" w:hAnsi="Arial" w:cs="Arial"/>
                <w:bCs/>
                <w:color w:val="000000" w:themeColor="text1"/>
                <w:sz w:val="22"/>
                <w:szCs w:val="22"/>
              </w:rPr>
              <w:footnoteReference w:id="30"/>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A078683" w14:textId="0465B77D" w:rsidR="00BE58D6" w:rsidRPr="005A55CC" w:rsidRDefault="00152182" w:rsidP="005A55CC">
            <w:pPr>
              <w:pStyle w:val="NormalWeb"/>
              <w:spacing w:line="276" w:lineRule="auto"/>
              <w:jc w:val="both"/>
              <w:rPr>
                <w:rFonts w:ascii="Arial" w:hAnsi="Arial" w:cs="Arial"/>
                <w:bCs/>
                <w:color w:val="000000" w:themeColor="text1"/>
                <w:sz w:val="22"/>
                <w:szCs w:val="22"/>
              </w:rPr>
            </w:pPr>
            <w:r>
              <w:rPr>
                <w:rFonts w:ascii="Arial" w:hAnsi="Arial" w:cs="Arial"/>
                <w:bCs/>
                <w:color w:val="000000" w:themeColor="text1"/>
                <w:sz w:val="22"/>
                <w:szCs w:val="22"/>
              </w:rPr>
              <w:t xml:space="preserve">This study can inform the </w:t>
            </w:r>
            <w:r w:rsidRPr="00926068">
              <w:rPr>
                <w:rFonts w:ascii="Arial" w:hAnsi="Arial" w:cs="Arial"/>
                <w:bCs/>
                <w:color w:val="000000" w:themeColor="text1"/>
                <w:sz w:val="22"/>
                <w:szCs w:val="22"/>
              </w:rPr>
              <w:t>community-based water systems in Indonesia; as it presents insights to enhance resilience by reinforcing, rather than replacing, existing governance structures. To enable water services to evolve towards a proactive systemic resilience, governance flexibility, participatory approaches, access to finance, and social legitimacy have great potential to drive this move. These insights contribute to the ongoing adaptation discussions and provide lessons for resilience-building measures across sectors.</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54D4579D" w14:textId="77777777" w:rsidR="001679D8" w:rsidRDefault="001679D8" w:rsidP="00247C60">
      <w:pPr>
        <w:rPr>
          <w:rFonts w:ascii="Helvetica Neue" w:hAnsi="Helvetica Neue" w:cs="Helvetica Neue"/>
          <w:color w:val="3F3F3F"/>
          <w:sz w:val="26"/>
          <w:szCs w:val="26"/>
          <w:lang w:val="en-GB"/>
        </w:rPr>
      </w:pPr>
    </w:p>
    <w:p w14:paraId="288F6FE8" w14:textId="77777777" w:rsidR="001679D8" w:rsidRPr="00C26081" w:rsidRDefault="001679D8" w:rsidP="00247C60"/>
    <w:sectPr w:rsidR="001679D8"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7FAB" w14:textId="77777777" w:rsidR="003C6A6D" w:rsidRDefault="003C6A6D" w:rsidP="00870EE8">
      <w:r>
        <w:separator/>
      </w:r>
    </w:p>
  </w:endnote>
  <w:endnote w:type="continuationSeparator" w:id="0">
    <w:p w14:paraId="08866572" w14:textId="77777777" w:rsidR="003C6A6D" w:rsidRDefault="003C6A6D" w:rsidP="0087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1F4A" w14:textId="77777777" w:rsidR="003C6A6D" w:rsidRDefault="003C6A6D" w:rsidP="00870EE8">
      <w:r>
        <w:separator/>
      </w:r>
    </w:p>
  </w:footnote>
  <w:footnote w:type="continuationSeparator" w:id="0">
    <w:p w14:paraId="4E6CD4AB" w14:textId="77777777" w:rsidR="003C6A6D" w:rsidRDefault="003C6A6D" w:rsidP="00870EE8">
      <w:r>
        <w:continuationSeparator/>
      </w:r>
    </w:p>
  </w:footnote>
  <w:footnote w:id="1">
    <w:p w14:paraId="2BD2FBA2" w14:textId="0557AF78"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IPCC, 2022</w:t>
      </w:r>
    </w:p>
  </w:footnote>
  <w:footnote w:id="2">
    <w:p w14:paraId="580C4892" w14:textId="77777777"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WHO &amp; UNICEF, 2021</w:t>
      </w:r>
    </w:p>
  </w:footnote>
  <w:footnote w:id="3">
    <w:p w14:paraId="6A48F742" w14:textId="77777777"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Kates et al., 2012</w:t>
      </w:r>
    </w:p>
  </w:footnote>
  <w:footnote w:id="4">
    <w:p w14:paraId="0C42803D" w14:textId="77777777"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O’Brien &amp; </w:t>
      </w:r>
      <w:proofErr w:type="spellStart"/>
      <w:r w:rsidRPr="008D0FA1">
        <w:rPr>
          <w:rStyle w:val="FootnoteReference"/>
          <w:rFonts w:ascii="Arial" w:hAnsi="Arial" w:cs="Arial"/>
          <w:color w:val="000000" w:themeColor="text1"/>
          <w:vertAlign w:val="baseline"/>
        </w:rPr>
        <w:t>Selboe</w:t>
      </w:r>
      <w:proofErr w:type="spellEnd"/>
      <w:r w:rsidRPr="008D0FA1">
        <w:rPr>
          <w:rStyle w:val="FootnoteReference"/>
          <w:rFonts w:ascii="Arial" w:hAnsi="Arial" w:cs="Arial"/>
          <w:color w:val="000000" w:themeColor="text1"/>
          <w:vertAlign w:val="baseline"/>
        </w:rPr>
        <w:t>, 2015</w:t>
      </w:r>
    </w:p>
  </w:footnote>
  <w:footnote w:id="5">
    <w:p w14:paraId="6E3E4ECB" w14:textId="77777777"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Pelling et al., 2015</w:t>
      </w:r>
    </w:p>
  </w:footnote>
  <w:footnote w:id="6">
    <w:p w14:paraId="6761A925" w14:textId="24BFA659"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w:t>
      </w:r>
      <w:proofErr w:type="spellStart"/>
      <w:r w:rsidRPr="008D0FA1">
        <w:rPr>
          <w:rStyle w:val="FootnoteReference"/>
          <w:rFonts w:ascii="Arial" w:hAnsi="Arial" w:cs="Arial"/>
          <w:color w:val="000000" w:themeColor="text1"/>
          <w:vertAlign w:val="baseline"/>
        </w:rPr>
        <w:t>Fazey</w:t>
      </w:r>
      <w:proofErr w:type="spellEnd"/>
      <w:r w:rsidRPr="008D0FA1">
        <w:rPr>
          <w:rStyle w:val="FootnoteReference"/>
          <w:rFonts w:ascii="Arial" w:hAnsi="Arial" w:cs="Arial"/>
          <w:color w:val="000000" w:themeColor="text1"/>
          <w:vertAlign w:val="baseline"/>
        </w:rPr>
        <w:t xml:space="preserve"> et al., 2018</w:t>
      </w:r>
    </w:p>
  </w:footnote>
  <w:footnote w:id="7">
    <w:p w14:paraId="28A2E3C2" w14:textId="2152E832"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O’Brien</w:t>
      </w:r>
      <w:r w:rsidR="002E14E7" w:rsidRPr="008D0FA1">
        <w:rPr>
          <w:rStyle w:val="FootnoteReference"/>
          <w:rFonts w:ascii="Arial" w:hAnsi="Arial" w:cs="Arial"/>
          <w:color w:val="000000" w:themeColor="text1"/>
          <w:vertAlign w:val="baseline"/>
        </w:rPr>
        <w:t>,</w:t>
      </w:r>
      <w:r w:rsidRPr="008D0FA1">
        <w:rPr>
          <w:rStyle w:val="FootnoteReference"/>
          <w:rFonts w:ascii="Arial" w:hAnsi="Arial" w:cs="Arial"/>
          <w:color w:val="000000" w:themeColor="text1"/>
          <w:vertAlign w:val="baseline"/>
        </w:rPr>
        <w:t xml:space="preserve"> 2012</w:t>
      </w:r>
    </w:p>
  </w:footnote>
  <w:footnote w:id="8">
    <w:p w14:paraId="0C0851DC" w14:textId="6B62F4BE" w:rsidR="00FF55DA" w:rsidRPr="008D0FA1" w:rsidRDefault="00FF55DA" w:rsidP="00FF55DA">
      <w:pPr>
        <w:pStyle w:val="FootnoteText"/>
        <w:rPr>
          <w:rStyle w:val="FootnoteReference"/>
          <w:rFonts w:ascii="Arial" w:hAnsi="Arial" w:cs="Arial"/>
          <w:color w:val="000000" w:themeColor="text1"/>
          <w:vertAlign w:val="baseline"/>
        </w:rPr>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Zant et al</w:t>
      </w:r>
      <w:r w:rsidR="002E14E7" w:rsidRPr="008D0FA1">
        <w:rPr>
          <w:rStyle w:val="FootnoteReference"/>
          <w:rFonts w:ascii="Arial" w:hAnsi="Arial" w:cs="Arial"/>
          <w:color w:val="000000" w:themeColor="text1"/>
          <w:vertAlign w:val="baseline"/>
        </w:rPr>
        <w:t>.,</w:t>
      </w:r>
      <w:r w:rsidRPr="008D0FA1">
        <w:rPr>
          <w:rStyle w:val="FootnoteReference"/>
          <w:rFonts w:ascii="Arial" w:hAnsi="Arial" w:cs="Arial"/>
          <w:color w:val="000000" w:themeColor="text1"/>
          <w:vertAlign w:val="baseline"/>
        </w:rPr>
        <w:t xml:space="preserve"> 2023</w:t>
      </w:r>
    </w:p>
  </w:footnote>
  <w:footnote w:id="9">
    <w:p w14:paraId="36392A3B" w14:textId="77777777" w:rsidR="00FF55DA" w:rsidRDefault="00FF55DA" w:rsidP="00FF55DA">
      <w:pPr>
        <w:pStyle w:val="FootnoteText"/>
      </w:pPr>
      <w:r w:rsidRPr="008D0FA1">
        <w:rPr>
          <w:rStyle w:val="FootnoteReference"/>
          <w:rFonts w:ascii="Arial" w:hAnsi="Arial" w:cs="Arial"/>
          <w:color w:val="000000" w:themeColor="text1"/>
          <w:vertAlign w:val="baseline"/>
        </w:rPr>
        <w:footnoteRef/>
      </w:r>
      <w:r w:rsidRPr="008D0FA1">
        <w:rPr>
          <w:rStyle w:val="FootnoteReference"/>
          <w:rFonts w:ascii="Arial" w:hAnsi="Arial" w:cs="Arial"/>
          <w:color w:val="000000" w:themeColor="text1"/>
          <w:vertAlign w:val="baseline"/>
        </w:rPr>
        <w:t xml:space="preserve"> Howard et al., 2016</w:t>
      </w:r>
    </w:p>
  </w:footnote>
  <w:footnote w:id="10">
    <w:p w14:paraId="5F13E81F"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Fedele et al., 2019</w:t>
      </w:r>
    </w:p>
  </w:footnote>
  <w:footnote w:id="11">
    <w:p w14:paraId="7F1CE957" w14:textId="24C6E73F"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Ziervogel et al 2016</w:t>
      </w:r>
    </w:p>
  </w:footnote>
  <w:footnote w:id="12">
    <w:p w14:paraId="1330A84B"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Katic, 2021</w:t>
      </w:r>
    </w:p>
  </w:footnote>
  <w:footnote w:id="13">
    <w:p w14:paraId="4CB4F81F"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Fook 2017</w:t>
      </w:r>
    </w:p>
  </w:footnote>
  <w:footnote w:id="14">
    <w:p w14:paraId="559FA3EA"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Katic 2021</w:t>
      </w:r>
    </w:p>
  </w:footnote>
  <w:footnote w:id="15">
    <w:p w14:paraId="68601C00"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Olabisi et al., 2020</w:t>
      </w:r>
    </w:p>
  </w:footnote>
  <w:footnote w:id="16">
    <w:p w14:paraId="4A1F1D97" w14:textId="77777777"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Kasdan et al 2021</w:t>
      </w:r>
    </w:p>
  </w:footnote>
  <w:footnote w:id="17">
    <w:p w14:paraId="26BF11C8" w14:textId="3B945690" w:rsidR="00E303C3" w:rsidRPr="008D0FA1" w:rsidRDefault="00E303C3" w:rsidP="00E303C3">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Kuhl</w:t>
      </w:r>
      <w:r w:rsidR="002B5072" w:rsidRPr="008D0FA1">
        <w:rPr>
          <w:rFonts w:ascii="Arial" w:hAnsi="Arial" w:cs="Arial"/>
          <w:color w:val="000000" w:themeColor="text1"/>
        </w:rPr>
        <w:t xml:space="preserve"> &amp; </w:t>
      </w:r>
      <w:r w:rsidRPr="008D0FA1">
        <w:rPr>
          <w:rFonts w:ascii="Arial" w:hAnsi="Arial" w:cs="Arial"/>
          <w:color w:val="000000" w:themeColor="text1"/>
        </w:rPr>
        <w:t>Shinn</w:t>
      </w:r>
      <w:r w:rsidR="002B5072" w:rsidRPr="008D0FA1">
        <w:rPr>
          <w:rFonts w:ascii="Arial" w:hAnsi="Arial" w:cs="Arial"/>
          <w:color w:val="000000" w:themeColor="text1"/>
        </w:rPr>
        <w:t xml:space="preserve">, </w:t>
      </w:r>
      <w:r w:rsidRPr="008D0FA1">
        <w:rPr>
          <w:rFonts w:ascii="Arial" w:hAnsi="Arial" w:cs="Arial"/>
          <w:color w:val="000000" w:themeColor="text1"/>
        </w:rPr>
        <w:t>2022</w:t>
      </w:r>
    </w:p>
  </w:footnote>
  <w:footnote w:id="18">
    <w:p w14:paraId="5C627F83" w14:textId="37F144A0"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w:t>
      </w:r>
      <w:proofErr w:type="spellStart"/>
      <w:r w:rsidRPr="008D0FA1">
        <w:rPr>
          <w:rFonts w:ascii="Arial" w:eastAsia="Calibri" w:hAnsi="Arial" w:cs="Arial"/>
          <w:color w:val="000000" w:themeColor="text1"/>
        </w:rPr>
        <w:t>Kates</w:t>
      </w:r>
      <w:proofErr w:type="spellEnd"/>
      <w:r w:rsidRPr="008D0FA1">
        <w:rPr>
          <w:rFonts w:ascii="Arial" w:eastAsia="Calibri" w:hAnsi="Arial" w:cs="Arial"/>
          <w:color w:val="000000" w:themeColor="text1"/>
        </w:rPr>
        <w:t xml:space="preserve"> et al.</w:t>
      </w:r>
      <w:r w:rsidR="002B5072" w:rsidRPr="008D0FA1">
        <w:rPr>
          <w:rFonts w:ascii="Arial" w:eastAsia="Calibri" w:hAnsi="Arial" w:cs="Arial"/>
          <w:color w:val="000000" w:themeColor="text1"/>
        </w:rPr>
        <w:t xml:space="preserve">, </w:t>
      </w:r>
      <w:r w:rsidRPr="008D0FA1">
        <w:rPr>
          <w:rFonts w:ascii="Arial" w:eastAsia="Calibri" w:hAnsi="Arial" w:cs="Arial"/>
          <w:color w:val="000000" w:themeColor="text1"/>
        </w:rPr>
        <w:t>2012</w:t>
      </w:r>
    </w:p>
  </w:footnote>
  <w:footnote w:id="19">
    <w:p w14:paraId="49C2B428" w14:textId="7B886B60"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Islam et al.</w:t>
      </w:r>
      <w:r w:rsidR="002B5072" w:rsidRPr="008D0FA1">
        <w:rPr>
          <w:rFonts w:ascii="Arial" w:hAnsi="Arial" w:cs="Arial"/>
          <w:color w:val="000000" w:themeColor="text1"/>
        </w:rPr>
        <w:t xml:space="preserve">, </w:t>
      </w:r>
      <w:r w:rsidRPr="008D0FA1">
        <w:rPr>
          <w:rFonts w:ascii="Arial" w:hAnsi="Arial" w:cs="Arial"/>
          <w:color w:val="000000" w:themeColor="text1"/>
        </w:rPr>
        <w:t>2020</w:t>
      </w:r>
    </w:p>
  </w:footnote>
  <w:footnote w:id="20">
    <w:p w14:paraId="4D864E21" w14:textId="4DD14242"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Fedele et al.</w:t>
      </w:r>
      <w:r w:rsidR="008D0FA1" w:rsidRPr="008D0FA1">
        <w:rPr>
          <w:rFonts w:ascii="Arial" w:hAnsi="Arial" w:cs="Arial"/>
          <w:color w:val="000000" w:themeColor="text1"/>
        </w:rPr>
        <w:t xml:space="preserve">, </w:t>
      </w:r>
      <w:r w:rsidRPr="008D0FA1">
        <w:rPr>
          <w:rFonts w:ascii="Arial" w:hAnsi="Arial" w:cs="Arial"/>
          <w:color w:val="000000" w:themeColor="text1"/>
        </w:rPr>
        <w:t>2019</w:t>
      </w:r>
    </w:p>
  </w:footnote>
  <w:footnote w:id="21">
    <w:p w14:paraId="34701B89" w14:textId="75E5B8A6"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Solecki et al.</w:t>
      </w:r>
      <w:r w:rsidR="008D0FA1" w:rsidRPr="008D0FA1">
        <w:rPr>
          <w:rFonts w:ascii="Arial" w:hAnsi="Arial" w:cs="Arial"/>
          <w:color w:val="000000" w:themeColor="text1"/>
        </w:rPr>
        <w:t>,</w:t>
      </w:r>
      <w:r w:rsidRPr="008D0FA1">
        <w:rPr>
          <w:rFonts w:ascii="Arial" w:hAnsi="Arial" w:cs="Arial"/>
          <w:color w:val="000000" w:themeColor="text1"/>
        </w:rPr>
        <w:t xml:space="preserve"> 2021</w:t>
      </w:r>
    </w:p>
  </w:footnote>
  <w:footnote w:id="22">
    <w:p w14:paraId="4BDD1E8D" w14:textId="77777777"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Ziervogel et al 2021</w:t>
      </w:r>
    </w:p>
  </w:footnote>
  <w:footnote w:id="23">
    <w:p w14:paraId="7CE9E182" w14:textId="24262A65"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Solecki et al.</w:t>
      </w:r>
      <w:r w:rsidR="008D0FA1" w:rsidRPr="008D0FA1">
        <w:rPr>
          <w:rFonts w:ascii="Arial" w:hAnsi="Arial" w:cs="Arial"/>
          <w:color w:val="000000" w:themeColor="text1"/>
        </w:rPr>
        <w:t xml:space="preserve">, </w:t>
      </w:r>
      <w:r w:rsidRPr="008D0FA1">
        <w:rPr>
          <w:rFonts w:ascii="Arial" w:hAnsi="Arial" w:cs="Arial"/>
          <w:color w:val="000000" w:themeColor="text1"/>
        </w:rPr>
        <w:t>2021</w:t>
      </w:r>
    </w:p>
  </w:footnote>
  <w:footnote w:id="24">
    <w:p w14:paraId="337D33B6" w14:textId="5DF2EE12"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Wilson et al.</w:t>
      </w:r>
      <w:r w:rsidR="008D0FA1" w:rsidRPr="008D0FA1">
        <w:rPr>
          <w:rFonts w:ascii="Arial" w:hAnsi="Arial" w:cs="Arial"/>
          <w:color w:val="000000" w:themeColor="text1"/>
        </w:rPr>
        <w:t xml:space="preserve">, </w:t>
      </w:r>
      <w:r w:rsidRPr="008D0FA1">
        <w:rPr>
          <w:rFonts w:ascii="Arial" w:hAnsi="Arial" w:cs="Arial"/>
          <w:color w:val="000000" w:themeColor="text1"/>
        </w:rPr>
        <w:t>2020</w:t>
      </w:r>
    </w:p>
  </w:footnote>
  <w:footnote w:id="25">
    <w:p w14:paraId="65358DC7" w14:textId="3DEC80F5"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w:t>
      </w:r>
      <w:proofErr w:type="spellStart"/>
      <w:r w:rsidRPr="008D0FA1">
        <w:rPr>
          <w:rFonts w:ascii="Arial" w:hAnsi="Arial" w:cs="Arial"/>
          <w:color w:val="000000" w:themeColor="text1"/>
        </w:rPr>
        <w:t>Gotgelf</w:t>
      </w:r>
      <w:proofErr w:type="spellEnd"/>
      <w:r w:rsidRPr="008D0FA1">
        <w:rPr>
          <w:rFonts w:ascii="Arial" w:hAnsi="Arial" w:cs="Arial"/>
          <w:color w:val="000000" w:themeColor="text1"/>
        </w:rPr>
        <w:t xml:space="preserve"> et al.</w:t>
      </w:r>
      <w:r w:rsidR="008D0FA1" w:rsidRPr="008D0FA1">
        <w:rPr>
          <w:rFonts w:ascii="Arial" w:hAnsi="Arial" w:cs="Arial"/>
          <w:color w:val="000000" w:themeColor="text1"/>
        </w:rPr>
        <w:t xml:space="preserve">, </w:t>
      </w:r>
      <w:r w:rsidRPr="008D0FA1">
        <w:rPr>
          <w:rFonts w:ascii="Arial" w:hAnsi="Arial" w:cs="Arial"/>
          <w:color w:val="000000" w:themeColor="text1"/>
        </w:rPr>
        <w:t>2020</w:t>
      </w:r>
    </w:p>
  </w:footnote>
  <w:footnote w:id="26">
    <w:p w14:paraId="528D0221" w14:textId="23F78124"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Few et al.</w:t>
      </w:r>
      <w:r w:rsidR="008D0FA1" w:rsidRPr="008D0FA1">
        <w:rPr>
          <w:rFonts w:ascii="Arial" w:hAnsi="Arial" w:cs="Arial"/>
          <w:color w:val="000000" w:themeColor="text1"/>
        </w:rPr>
        <w:t xml:space="preserve">, </w:t>
      </w:r>
      <w:r w:rsidRPr="008D0FA1">
        <w:rPr>
          <w:rFonts w:ascii="Arial" w:hAnsi="Arial" w:cs="Arial"/>
          <w:color w:val="000000" w:themeColor="text1"/>
        </w:rPr>
        <w:t>2017</w:t>
      </w:r>
    </w:p>
  </w:footnote>
  <w:footnote w:id="27">
    <w:p w14:paraId="069788FA" w14:textId="3175685B" w:rsidR="00D42672" w:rsidRPr="008D0FA1" w:rsidRDefault="00D42672" w:rsidP="00D42672">
      <w:pPr>
        <w:pStyle w:val="FootnoteText"/>
        <w:rPr>
          <w:rFonts w:ascii="Arial" w:hAnsi="Arial" w:cs="Arial"/>
          <w:color w:val="000000" w:themeColor="text1"/>
        </w:rPr>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Olabisi et al.</w:t>
      </w:r>
      <w:r w:rsidR="008D0FA1" w:rsidRPr="008D0FA1">
        <w:rPr>
          <w:rFonts w:ascii="Arial" w:hAnsi="Arial" w:cs="Arial"/>
          <w:color w:val="000000" w:themeColor="text1"/>
        </w:rPr>
        <w:t>,</w:t>
      </w:r>
      <w:r w:rsidRPr="008D0FA1">
        <w:rPr>
          <w:rFonts w:ascii="Arial" w:hAnsi="Arial" w:cs="Arial"/>
          <w:color w:val="000000" w:themeColor="text1"/>
        </w:rPr>
        <w:t xml:space="preserve"> 2020</w:t>
      </w:r>
    </w:p>
  </w:footnote>
  <w:footnote w:id="28">
    <w:p w14:paraId="7E6EA241" w14:textId="77777777" w:rsidR="00D42672" w:rsidRDefault="00D42672" w:rsidP="00D42672">
      <w:pPr>
        <w:pStyle w:val="FootnoteText"/>
      </w:pPr>
      <w:r w:rsidRPr="008D0FA1">
        <w:rPr>
          <w:rStyle w:val="FootnoteReference"/>
          <w:rFonts w:ascii="Arial" w:hAnsi="Arial" w:cs="Arial"/>
          <w:color w:val="000000" w:themeColor="text1"/>
        </w:rPr>
        <w:footnoteRef/>
      </w:r>
      <w:r w:rsidRPr="008D0FA1">
        <w:rPr>
          <w:rFonts w:ascii="Arial" w:hAnsi="Arial" w:cs="Arial"/>
          <w:color w:val="000000" w:themeColor="text1"/>
        </w:rPr>
        <w:t xml:space="preserve"> Katic, 2021</w:t>
      </w:r>
    </w:p>
  </w:footnote>
  <w:footnote w:id="29">
    <w:p w14:paraId="755383BB" w14:textId="5FEE8D33" w:rsidR="00D42672" w:rsidRPr="008D0FA1" w:rsidRDefault="00D42672" w:rsidP="00D42672">
      <w:pPr>
        <w:pStyle w:val="FootnoteText"/>
        <w:rPr>
          <w:rFonts w:ascii="Arial" w:hAnsi="Arial" w:cs="Arial"/>
        </w:rPr>
      </w:pPr>
      <w:r w:rsidRPr="008D0FA1">
        <w:rPr>
          <w:rStyle w:val="FootnoteReference"/>
          <w:rFonts w:ascii="Arial" w:hAnsi="Arial" w:cs="Arial"/>
        </w:rPr>
        <w:footnoteRef/>
      </w:r>
      <w:r w:rsidRPr="008D0FA1">
        <w:rPr>
          <w:rFonts w:ascii="Arial" w:hAnsi="Arial" w:cs="Arial"/>
        </w:rPr>
        <w:t xml:space="preserve"> Ziervogel et al.</w:t>
      </w:r>
      <w:r w:rsidR="008D0FA1" w:rsidRPr="008D0FA1">
        <w:rPr>
          <w:rFonts w:ascii="Arial" w:hAnsi="Arial" w:cs="Arial"/>
        </w:rPr>
        <w:t xml:space="preserve">, </w:t>
      </w:r>
      <w:r w:rsidRPr="008D0FA1">
        <w:rPr>
          <w:rFonts w:ascii="Arial" w:hAnsi="Arial" w:cs="Arial"/>
        </w:rPr>
        <w:t>2022</w:t>
      </w:r>
    </w:p>
  </w:footnote>
  <w:footnote w:id="30">
    <w:p w14:paraId="1FF1A156" w14:textId="1E216441" w:rsidR="00D42672" w:rsidRDefault="00D42672" w:rsidP="00D42672">
      <w:pPr>
        <w:pStyle w:val="FootnoteText"/>
      </w:pPr>
      <w:r w:rsidRPr="008D0FA1">
        <w:rPr>
          <w:rStyle w:val="FootnoteReference"/>
          <w:rFonts w:ascii="Arial" w:hAnsi="Arial" w:cs="Arial"/>
        </w:rPr>
        <w:footnoteRef/>
      </w:r>
      <w:r w:rsidRPr="008D0FA1">
        <w:rPr>
          <w:rFonts w:ascii="Arial" w:hAnsi="Arial" w:cs="Arial"/>
        </w:rPr>
        <w:t xml:space="preserve"> Olabisi et al.</w:t>
      </w:r>
      <w:r w:rsidR="008D0FA1" w:rsidRPr="008D0FA1">
        <w:rPr>
          <w:rFonts w:ascii="Arial" w:hAnsi="Arial" w:cs="Arial"/>
        </w:rPr>
        <w:t xml:space="preserve">, </w:t>
      </w:r>
      <w:r w:rsidRPr="008D0FA1">
        <w:rPr>
          <w:rFonts w:ascii="Arial" w:hAnsi="Arial" w:cs="Arial"/>
        </w:rPr>
        <w:t>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B04"/>
    <w:multiLevelType w:val="hybridMultilevel"/>
    <w:tmpl w:val="9D70815E"/>
    <w:lvl w:ilvl="0" w:tplc="58B2260E">
      <w:start w:val="1"/>
      <w:numFmt w:val="bullet"/>
      <w:lvlText w:val="•"/>
      <w:lvlJc w:val="left"/>
      <w:pPr>
        <w:tabs>
          <w:tab w:val="num" w:pos="644"/>
        </w:tabs>
        <w:ind w:left="644" w:hanging="360"/>
      </w:pPr>
      <w:rPr>
        <w:rFonts w:ascii="Arial" w:hAnsi="Arial" w:hint="default"/>
      </w:rPr>
    </w:lvl>
    <w:lvl w:ilvl="1" w:tplc="3FAE5620" w:tentative="1">
      <w:start w:val="1"/>
      <w:numFmt w:val="bullet"/>
      <w:lvlText w:val="•"/>
      <w:lvlJc w:val="left"/>
      <w:pPr>
        <w:tabs>
          <w:tab w:val="num" w:pos="1440"/>
        </w:tabs>
        <w:ind w:left="1440" w:hanging="360"/>
      </w:pPr>
      <w:rPr>
        <w:rFonts w:ascii="Arial" w:hAnsi="Arial" w:hint="default"/>
      </w:rPr>
    </w:lvl>
    <w:lvl w:ilvl="2" w:tplc="71D0AEA8" w:tentative="1">
      <w:start w:val="1"/>
      <w:numFmt w:val="bullet"/>
      <w:lvlText w:val="•"/>
      <w:lvlJc w:val="left"/>
      <w:pPr>
        <w:tabs>
          <w:tab w:val="num" w:pos="2160"/>
        </w:tabs>
        <w:ind w:left="2160" w:hanging="360"/>
      </w:pPr>
      <w:rPr>
        <w:rFonts w:ascii="Arial" w:hAnsi="Arial" w:hint="default"/>
      </w:rPr>
    </w:lvl>
    <w:lvl w:ilvl="3" w:tplc="D7D47228" w:tentative="1">
      <w:start w:val="1"/>
      <w:numFmt w:val="bullet"/>
      <w:lvlText w:val="•"/>
      <w:lvlJc w:val="left"/>
      <w:pPr>
        <w:tabs>
          <w:tab w:val="num" w:pos="2880"/>
        </w:tabs>
        <w:ind w:left="2880" w:hanging="360"/>
      </w:pPr>
      <w:rPr>
        <w:rFonts w:ascii="Arial" w:hAnsi="Arial" w:hint="default"/>
      </w:rPr>
    </w:lvl>
    <w:lvl w:ilvl="4" w:tplc="F926A9AE" w:tentative="1">
      <w:start w:val="1"/>
      <w:numFmt w:val="bullet"/>
      <w:lvlText w:val="•"/>
      <w:lvlJc w:val="left"/>
      <w:pPr>
        <w:tabs>
          <w:tab w:val="num" w:pos="3600"/>
        </w:tabs>
        <w:ind w:left="3600" w:hanging="360"/>
      </w:pPr>
      <w:rPr>
        <w:rFonts w:ascii="Arial" w:hAnsi="Arial" w:hint="default"/>
      </w:rPr>
    </w:lvl>
    <w:lvl w:ilvl="5" w:tplc="FB547A24" w:tentative="1">
      <w:start w:val="1"/>
      <w:numFmt w:val="bullet"/>
      <w:lvlText w:val="•"/>
      <w:lvlJc w:val="left"/>
      <w:pPr>
        <w:tabs>
          <w:tab w:val="num" w:pos="4320"/>
        </w:tabs>
        <w:ind w:left="4320" w:hanging="360"/>
      </w:pPr>
      <w:rPr>
        <w:rFonts w:ascii="Arial" w:hAnsi="Arial" w:hint="default"/>
      </w:rPr>
    </w:lvl>
    <w:lvl w:ilvl="6" w:tplc="45C4F314" w:tentative="1">
      <w:start w:val="1"/>
      <w:numFmt w:val="bullet"/>
      <w:lvlText w:val="•"/>
      <w:lvlJc w:val="left"/>
      <w:pPr>
        <w:tabs>
          <w:tab w:val="num" w:pos="5040"/>
        </w:tabs>
        <w:ind w:left="5040" w:hanging="360"/>
      </w:pPr>
      <w:rPr>
        <w:rFonts w:ascii="Arial" w:hAnsi="Arial" w:hint="default"/>
      </w:rPr>
    </w:lvl>
    <w:lvl w:ilvl="7" w:tplc="085C1FBA" w:tentative="1">
      <w:start w:val="1"/>
      <w:numFmt w:val="bullet"/>
      <w:lvlText w:val="•"/>
      <w:lvlJc w:val="left"/>
      <w:pPr>
        <w:tabs>
          <w:tab w:val="num" w:pos="5760"/>
        </w:tabs>
        <w:ind w:left="5760" w:hanging="360"/>
      </w:pPr>
      <w:rPr>
        <w:rFonts w:ascii="Arial" w:hAnsi="Arial" w:hint="default"/>
      </w:rPr>
    </w:lvl>
    <w:lvl w:ilvl="8" w:tplc="A484F9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17089137">
    <w:abstractNumId w:val="1"/>
  </w:num>
  <w:num w:numId="2" w16cid:durableId="1871988029">
    <w:abstractNumId w:val="3"/>
  </w:num>
  <w:num w:numId="3" w16cid:durableId="298998205">
    <w:abstractNumId w:val="2"/>
  </w:num>
  <w:num w:numId="4" w16cid:durableId="10542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366A"/>
    <w:rsid w:val="00016325"/>
    <w:rsid w:val="00026454"/>
    <w:rsid w:val="00042E5E"/>
    <w:rsid w:val="000454E9"/>
    <w:rsid w:val="00051E4E"/>
    <w:rsid w:val="00064D9E"/>
    <w:rsid w:val="00074844"/>
    <w:rsid w:val="0008454F"/>
    <w:rsid w:val="00087A2C"/>
    <w:rsid w:val="000C4FD0"/>
    <w:rsid w:val="000D6C41"/>
    <w:rsid w:val="000E3E19"/>
    <w:rsid w:val="00105E39"/>
    <w:rsid w:val="00132AE5"/>
    <w:rsid w:val="001452D6"/>
    <w:rsid w:val="00152130"/>
    <w:rsid w:val="00152182"/>
    <w:rsid w:val="00155315"/>
    <w:rsid w:val="001575B2"/>
    <w:rsid w:val="00167314"/>
    <w:rsid w:val="001679D8"/>
    <w:rsid w:val="00185E0D"/>
    <w:rsid w:val="001C0576"/>
    <w:rsid w:val="001F13AE"/>
    <w:rsid w:val="002015E7"/>
    <w:rsid w:val="00241222"/>
    <w:rsid w:val="00247C60"/>
    <w:rsid w:val="00256963"/>
    <w:rsid w:val="00276C91"/>
    <w:rsid w:val="00286538"/>
    <w:rsid w:val="00290E71"/>
    <w:rsid w:val="002B5072"/>
    <w:rsid w:val="002C7F10"/>
    <w:rsid w:val="002E14E7"/>
    <w:rsid w:val="002E3AA3"/>
    <w:rsid w:val="002E76F6"/>
    <w:rsid w:val="002F37F6"/>
    <w:rsid w:val="00307EBA"/>
    <w:rsid w:val="00316051"/>
    <w:rsid w:val="00317356"/>
    <w:rsid w:val="00325305"/>
    <w:rsid w:val="00330B3D"/>
    <w:rsid w:val="003329E0"/>
    <w:rsid w:val="0034465B"/>
    <w:rsid w:val="0034503D"/>
    <w:rsid w:val="00345564"/>
    <w:rsid w:val="00353E9C"/>
    <w:rsid w:val="00354C31"/>
    <w:rsid w:val="00371A33"/>
    <w:rsid w:val="003723BC"/>
    <w:rsid w:val="00375456"/>
    <w:rsid w:val="00375B20"/>
    <w:rsid w:val="003837EA"/>
    <w:rsid w:val="00386D01"/>
    <w:rsid w:val="003A6AD4"/>
    <w:rsid w:val="003C6A6D"/>
    <w:rsid w:val="003E72F5"/>
    <w:rsid w:val="004015D8"/>
    <w:rsid w:val="00401AA1"/>
    <w:rsid w:val="004049E7"/>
    <w:rsid w:val="00405075"/>
    <w:rsid w:val="0043343D"/>
    <w:rsid w:val="00462B90"/>
    <w:rsid w:val="004823BF"/>
    <w:rsid w:val="004828A0"/>
    <w:rsid w:val="00484208"/>
    <w:rsid w:val="00495F81"/>
    <w:rsid w:val="004B1184"/>
    <w:rsid w:val="004B69C7"/>
    <w:rsid w:val="004D193B"/>
    <w:rsid w:val="004E39C3"/>
    <w:rsid w:val="004F2961"/>
    <w:rsid w:val="004F4CE8"/>
    <w:rsid w:val="004F5C81"/>
    <w:rsid w:val="004F61F0"/>
    <w:rsid w:val="00505900"/>
    <w:rsid w:val="00526D1B"/>
    <w:rsid w:val="0053222C"/>
    <w:rsid w:val="005374D4"/>
    <w:rsid w:val="005469BD"/>
    <w:rsid w:val="00550B17"/>
    <w:rsid w:val="00563046"/>
    <w:rsid w:val="00581D7E"/>
    <w:rsid w:val="005854B8"/>
    <w:rsid w:val="005943D6"/>
    <w:rsid w:val="005A55CC"/>
    <w:rsid w:val="005B315C"/>
    <w:rsid w:val="00615761"/>
    <w:rsid w:val="00627D7D"/>
    <w:rsid w:val="00630703"/>
    <w:rsid w:val="0064175F"/>
    <w:rsid w:val="0065012F"/>
    <w:rsid w:val="00651DE7"/>
    <w:rsid w:val="00654365"/>
    <w:rsid w:val="0066730D"/>
    <w:rsid w:val="0068043B"/>
    <w:rsid w:val="00681CA7"/>
    <w:rsid w:val="0068735A"/>
    <w:rsid w:val="006A1E7B"/>
    <w:rsid w:val="006A7D95"/>
    <w:rsid w:val="006B76B9"/>
    <w:rsid w:val="006C3C68"/>
    <w:rsid w:val="00701401"/>
    <w:rsid w:val="00702C96"/>
    <w:rsid w:val="00723F73"/>
    <w:rsid w:val="007532F6"/>
    <w:rsid w:val="00761523"/>
    <w:rsid w:val="00766E3C"/>
    <w:rsid w:val="00780FCF"/>
    <w:rsid w:val="007B5CEC"/>
    <w:rsid w:val="007C7882"/>
    <w:rsid w:val="007E7EF8"/>
    <w:rsid w:val="007F0A8C"/>
    <w:rsid w:val="00813ECD"/>
    <w:rsid w:val="008203D5"/>
    <w:rsid w:val="008235E8"/>
    <w:rsid w:val="00830A54"/>
    <w:rsid w:val="00856E56"/>
    <w:rsid w:val="00865B98"/>
    <w:rsid w:val="00870EE8"/>
    <w:rsid w:val="00874CA3"/>
    <w:rsid w:val="008773DF"/>
    <w:rsid w:val="008B01BA"/>
    <w:rsid w:val="008B50A0"/>
    <w:rsid w:val="008B7BD7"/>
    <w:rsid w:val="008C0C35"/>
    <w:rsid w:val="008C22AD"/>
    <w:rsid w:val="008C2633"/>
    <w:rsid w:val="008D0FA1"/>
    <w:rsid w:val="008E3D8D"/>
    <w:rsid w:val="008E4091"/>
    <w:rsid w:val="008F2F93"/>
    <w:rsid w:val="009010B0"/>
    <w:rsid w:val="009046C6"/>
    <w:rsid w:val="00906B39"/>
    <w:rsid w:val="00915886"/>
    <w:rsid w:val="0095418A"/>
    <w:rsid w:val="00963443"/>
    <w:rsid w:val="00971BC6"/>
    <w:rsid w:val="0097587F"/>
    <w:rsid w:val="00980B0F"/>
    <w:rsid w:val="009947AE"/>
    <w:rsid w:val="009A4F96"/>
    <w:rsid w:val="009B7585"/>
    <w:rsid w:val="009C374A"/>
    <w:rsid w:val="009C3A81"/>
    <w:rsid w:val="009D595D"/>
    <w:rsid w:val="009E54C8"/>
    <w:rsid w:val="009F4EA0"/>
    <w:rsid w:val="00A27963"/>
    <w:rsid w:val="00A5184A"/>
    <w:rsid w:val="00A53C05"/>
    <w:rsid w:val="00A57688"/>
    <w:rsid w:val="00A62CB5"/>
    <w:rsid w:val="00A6468C"/>
    <w:rsid w:val="00A82308"/>
    <w:rsid w:val="00A85A4D"/>
    <w:rsid w:val="00AA3928"/>
    <w:rsid w:val="00AA67C7"/>
    <w:rsid w:val="00AC5427"/>
    <w:rsid w:val="00AE27E9"/>
    <w:rsid w:val="00AF188C"/>
    <w:rsid w:val="00B026E8"/>
    <w:rsid w:val="00B475EA"/>
    <w:rsid w:val="00B50126"/>
    <w:rsid w:val="00B85B36"/>
    <w:rsid w:val="00B8788D"/>
    <w:rsid w:val="00BA0872"/>
    <w:rsid w:val="00BA26BB"/>
    <w:rsid w:val="00BC13A2"/>
    <w:rsid w:val="00BC6810"/>
    <w:rsid w:val="00BE0B4D"/>
    <w:rsid w:val="00BE0F90"/>
    <w:rsid w:val="00BE58D6"/>
    <w:rsid w:val="00C26081"/>
    <w:rsid w:val="00C3799F"/>
    <w:rsid w:val="00C4126D"/>
    <w:rsid w:val="00C51668"/>
    <w:rsid w:val="00C75A53"/>
    <w:rsid w:val="00C76C99"/>
    <w:rsid w:val="00C77FE9"/>
    <w:rsid w:val="00C8423A"/>
    <w:rsid w:val="00C9589B"/>
    <w:rsid w:val="00CD4169"/>
    <w:rsid w:val="00CE4238"/>
    <w:rsid w:val="00CE53FE"/>
    <w:rsid w:val="00D25915"/>
    <w:rsid w:val="00D42672"/>
    <w:rsid w:val="00D4293A"/>
    <w:rsid w:val="00D51C52"/>
    <w:rsid w:val="00D54D56"/>
    <w:rsid w:val="00D576B3"/>
    <w:rsid w:val="00D614F3"/>
    <w:rsid w:val="00D716AD"/>
    <w:rsid w:val="00D73B4A"/>
    <w:rsid w:val="00D914B3"/>
    <w:rsid w:val="00DA5B69"/>
    <w:rsid w:val="00DB006F"/>
    <w:rsid w:val="00DB7929"/>
    <w:rsid w:val="00DC57C7"/>
    <w:rsid w:val="00DD1BB3"/>
    <w:rsid w:val="00DD2C9A"/>
    <w:rsid w:val="00DE34CB"/>
    <w:rsid w:val="00E055BE"/>
    <w:rsid w:val="00E303C3"/>
    <w:rsid w:val="00E464FD"/>
    <w:rsid w:val="00E5604A"/>
    <w:rsid w:val="00E612FF"/>
    <w:rsid w:val="00EB1B31"/>
    <w:rsid w:val="00EB27CC"/>
    <w:rsid w:val="00EB2BCC"/>
    <w:rsid w:val="00EB5929"/>
    <w:rsid w:val="00EB6A72"/>
    <w:rsid w:val="00EC3550"/>
    <w:rsid w:val="00EE0BF6"/>
    <w:rsid w:val="00F12F00"/>
    <w:rsid w:val="00F4170E"/>
    <w:rsid w:val="00F63F7C"/>
    <w:rsid w:val="00F818D6"/>
    <w:rsid w:val="00FA372B"/>
    <w:rsid w:val="00FA5DB9"/>
    <w:rsid w:val="00FD49CB"/>
    <w:rsid w:val="00FF1A9D"/>
    <w:rsid w:val="00FF55D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D8"/>
    <w:rPr>
      <w:rFonts w:ascii="Times New Roman" w:eastAsia="Times New Roman" w:hAnsi="Times New Roman" w:cs="Times New Roman"/>
      <w:lang w:val="en-AU" w:eastAsia="en-GB"/>
    </w:rPr>
  </w:style>
  <w:style w:type="paragraph" w:styleId="Heading3">
    <w:name w:val="heading 3"/>
    <w:basedOn w:val="Normal"/>
    <w:link w:val="Heading3Char"/>
    <w:uiPriority w:val="9"/>
    <w:qFormat/>
    <w:rsid w:val="001679D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eastAsiaTheme="minorEastAsia" w:hAnsi="Segoe UI" w:cs="Segoe UI"/>
      <w:sz w:val="18"/>
      <w:szCs w:val="18"/>
      <w:lang w:val="en-CA" w:eastAsia="zh-TW"/>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rFonts w:asciiTheme="minorHAnsi" w:eastAsiaTheme="minorEastAsia" w:hAnsiTheme="minorHAnsi" w:cstheme="minorBidi"/>
      <w:sz w:val="20"/>
      <w:szCs w:val="20"/>
      <w:lang w:val="en-CA" w:eastAsia="zh-TW"/>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rPr>
      <w:rFonts w:asciiTheme="minorHAnsi" w:eastAsiaTheme="minorEastAsia" w:hAnsiTheme="minorHAnsi" w:cstheme="minorBidi"/>
      <w:lang w:val="en-CA" w:eastAsia="zh-TW"/>
    </w:rPr>
  </w:style>
  <w:style w:type="paragraph" w:styleId="NormalWeb">
    <w:name w:val="Normal (Web)"/>
    <w:basedOn w:val="Normal"/>
    <w:uiPriority w:val="99"/>
    <w:unhideWhenUsed/>
    <w:rsid w:val="00761523"/>
    <w:pPr>
      <w:spacing w:before="100" w:beforeAutospacing="1" w:after="100" w:afterAutospacing="1"/>
    </w:pPr>
  </w:style>
  <w:style w:type="character" w:customStyle="1" w:styleId="Heading3Char">
    <w:name w:val="Heading 3 Char"/>
    <w:basedOn w:val="DefaultParagraphFont"/>
    <w:link w:val="Heading3"/>
    <w:uiPriority w:val="9"/>
    <w:rsid w:val="001679D8"/>
    <w:rPr>
      <w:rFonts w:ascii="Times New Roman" w:eastAsia="Times New Roman" w:hAnsi="Times New Roman" w:cs="Times New Roman"/>
      <w:b/>
      <w:bCs/>
      <w:sz w:val="27"/>
      <w:szCs w:val="27"/>
      <w:lang w:val="en-AU" w:eastAsia="en-GB"/>
    </w:rPr>
  </w:style>
  <w:style w:type="character" w:styleId="Strong">
    <w:name w:val="Strong"/>
    <w:basedOn w:val="DefaultParagraphFont"/>
    <w:uiPriority w:val="22"/>
    <w:qFormat/>
    <w:rsid w:val="001679D8"/>
    <w:rPr>
      <w:b/>
      <w:bCs/>
    </w:rPr>
  </w:style>
  <w:style w:type="paragraph" w:styleId="FootnoteText">
    <w:name w:val="footnote text"/>
    <w:basedOn w:val="Normal"/>
    <w:link w:val="FootnoteTextChar"/>
    <w:uiPriority w:val="99"/>
    <w:semiHidden/>
    <w:unhideWhenUsed/>
    <w:rsid w:val="00FF55DA"/>
    <w:rPr>
      <w:sz w:val="20"/>
      <w:szCs w:val="20"/>
    </w:rPr>
  </w:style>
  <w:style w:type="character" w:customStyle="1" w:styleId="FootnoteTextChar">
    <w:name w:val="Footnote Text Char"/>
    <w:basedOn w:val="DefaultParagraphFont"/>
    <w:link w:val="FootnoteText"/>
    <w:uiPriority w:val="99"/>
    <w:semiHidden/>
    <w:rsid w:val="00FF55DA"/>
    <w:rPr>
      <w:rFonts w:ascii="Times New Roman" w:eastAsia="Times New Roman" w:hAnsi="Times New Roman" w:cs="Times New Roman"/>
      <w:sz w:val="20"/>
      <w:szCs w:val="20"/>
      <w:lang w:val="en-AU" w:eastAsia="en-GB"/>
    </w:rPr>
  </w:style>
  <w:style w:type="character" w:styleId="FootnoteReference">
    <w:name w:val="footnote reference"/>
    <w:basedOn w:val="DefaultParagraphFont"/>
    <w:uiPriority w:val="99"/>
    <w:semiHidden/>
    <w:unhideWhenUsed/>
    <w:rsid w:val="00FF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50538576">
      <w:bodyDiv w:val="1"/>
      <w:marLeft w:val="0"/>
      <w:marRight w:val="0"/>
      <w:marTop w:val="0"/>
      <w:marBottom w:val="0"/>
      <w:divBdr>
        <w:top w:val="none" w:sz="0" w:space="0" w:color="auto"/>
        <w:left w:val="none" w:sz="0" w:space="0" w:color="auto"/>
        <w:bottom w:val="none" w:sz="0" w:space="0" w:color="auto"/>
        <w:right w:val="none" w:sz="0" w:space="0" w:color="auto"/>
      </w:divBdr>
    </w:div>
    <w:div w:id="19591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6911e96c-4cc4-42d5-8e43-f93924cf6a05"/>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ab52c9b-ab33-4221-8af9-54f8f2b86a80"/>
    <ds:schemaRef ds:uri="9c8a2b7b-0bee-4c48-b0a6-23db8982d3bc"/>
    <ds:schemaRef ds:uri="http://www.w3.org/XML/1998/namespac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EF72FD94-F823-43A7-82F3-CAB467AE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636</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19</cp:revision>
  <dcterms:created xsi:type="dcterms:W3CDTF">2025-03-01T10:43:00Z</dcterms:created>
  <dcterms:modified xsi:type="dcterms:W3CDTF">2025-08-11T00:36:00Z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51a6c3db-1667-4f49-995a-8b9973972958_Enabled">
    <vt:lpwstr>true</vt:lpwstr>
  </property>
  <property fmtid="{D5CDD505-2E9C-101B-9397-08002B2CF9AE}" pid="5" name="MSIP_Label_51a6c3db-1667-4f49-995a-8b9973972958_SetDate">
    <vt:lpwstr>2025-02-23T02:49:43Z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6403f800-dd0f-442f-86d6-41650bedd0e8</vt:lpwstr>
  </property>
  <property fmtid="{D5CDD505-2E9C-101B-9397-08002B2CF9AE}" pid="10" name="MSIP_Label_51a6c3db-1667-4f49-995a-8b9973972958_ContentBits">
    <vt:lpwstr>0</vt:lpwstr>
  </property>
</Properties>
</file>