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5"/>
      </w:tblGrid>
      <w:tr w:rsidR="001564A4" w:rsidRPr="0050053A" w:rsidTr="00A4416E">
        <w:trPr>
          <w:trHeight w:val="661"/>
          <w:jc w:val="center"/>
        </w:trPr>
        <w:tc>
          <w:tcPr>
            <w:tcW w:w="8905" w:type="dxa"/>
            <w:shd w:val="clear" w:color="auto" w:fill="auto"/>
          </w:tcPr>
          <w:p w:rsidR="001564A4" w:rsidRPr="0050053A" w:rsidRDefault="0050168D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Back to Basics: MBS smoking and nicotine cessation items</w:t>
            </w:r>
          </w:p>
        </w:tc>
      </w:tr>
      <w:tr w:rsidR="001564A4" w:rsidRPr="0050053A" w:rsidTr="00604097">
        <w:trPr>
          <w:trHeight w:val="312"/>
          <w:jc w:val="center"/>
        </w:trPr>
        <w:tc>
          <w:tcPr>
            <w:tcW w:w="8905" w:type="dxa"/>
            <w:shd w:val="clear" w:color="auto" w:fill="auto"/>
          </w:tcPr>
          <w:p w:rsidR="001564A4" w:rsidRPr="00413B94" w:rsidRDefault="00735F02" w:rsidP="0058555C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735F0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Daniel </w:t>
            </w:r>
            <w:r w:rsidR="0058555C">
              <w:rPr>
                <w:rFonts w:ascii="Arial" w:hAnsi="Arial" w:cs="Arial"/>
                <w:sz w:val="22"/>
                <w:szCs w:val="22"/>
                <w:lang w:val="en-US" w:eastAsia="en-GB"/>
              </w:rPr>
              <w:t>Odo</w:t>
            </w:r>
            <w:r w:rsidRPr="00735F0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58555C">
              <w:rPr>
                <w:rFonts w:ascii="Arial" w:hAnsi="Arial" w:cs="Arial"/>
                <w:sz w:val="22"/>
                <w:szCs w:val="22"/>
                <w:lang w:val="en-US" w:eastAsia="en-GB"/>
              </w:rPr>
              <w:t>,T</w:t>
            </w:r>
            <w:r w:rsidRPr="00735F0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anya Buchanan </w:t>
            </w:r>
            <w:r w:rsidRPr="00735F0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 3</w:t>
            </w:r>
            <w:r w:rsidRPr="00735F0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Megan Varlow </w:t>
            </w:r>
            <w:r w:rsidRPr="00735F0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Raglan Maddox </w:t>
            </w:r>
            <w:r w:rsidRPr="00735F0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1, 4</w:t>
            </w:r>
          </w:p>
        </w:tc>
      </w:tr>
      <w:tr w:rsidR="001564A4" w:rsidRPr="0050053A" w:rsidTr="00A4416E">
        <w:trPr>
          <w:trHeight w:val="180"/>
          <w:jc w:val="center"/>
        </w:trPr>
        <w:tc>
          <w:tcPr>
            <w:tcW w:w="8905" w:type="dxa"/>
            <w:shd w:val="clear" w:color="auto" w:fill="auto"/>
          </w:tcPr>
          <w:p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B42B56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735F02" w:rsidRPr="00735F0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National Centre for Aboriginal and Torres Strait Islander Wellbeing Research, National Centre for Epidemiology and Population Health, The Australian National University, Canberra, Australian Capital Territory</w:t>
            </w:r>
            <w:r w:rsidR="0060409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  <w:p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B42B56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EC5F59" w:rsidRPr="00EC5F5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Cancer Council Australia, Sydney, New South Wales</w:t>
            </w:r>
          </w:p>
          <w:p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B42B56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EC5F59" w:rsidRPr="00EC5F5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Health and Society, University of Wollongong, New South Wales</w:t>
            </w:r>
          </w:p>
          <w:p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B42B56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bookmarkStart w:id="0" w:name="_GoBack"/>
            <w:bookmarkEnd w:id="0"/>
            <w:r w:rsidR="00EC5F59" w:rsidRPr="00EC5F5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Bagumani (</w:t>
            </w:r>
            <w:proofErr w:type="spellStart"/>
            <w:r w:rsidR="00EC5F59" w:rsidRPr="00EC5F5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Modewa</w:t>
            </w:r>
            <w:proofErr w:type="spellEnd"/>
            <w:r w:rsidR="00EC5F59" w:rsidRPr="00EC5F5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) Clan, Papua New Guinea</w:t>
            </w:r>
          </w:p>
        </w:tc>
      </w:tr>
      <w:tr w:rsidR="001564A4" w:rsidRPr="0050053A" w:rsidTr="00A4416E">
        <w:trPr>
          <w:trHeight w:hRule="exact" w:val="9990"/>
          <w:jc w:val="center"/>
        </w:trPr>
        <w:tc>
          <w:tcPr>
            <w:tcW w:w="8905" w:type="dxa"/>
            <w:shd w:val="clear" w:color="auto" w:fill="auto"/>
          </w:tcPr>
          <w:p w:rsidR="0050168D" w:rsidRDefault="001564A4" w:rsidP="00EE23C0">
            <w:pPr>
              <w:pStyle w:val="Pa12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EC5F59">
              <w:rPr>
                <w:rStyle w:val="A4"/>
                <w:b/>
                <w:bCs/>
                <w:color w:val="000000" w:themeColor="text1"/>
              </w:rPr>
              <w:t>Introduction/</w:t>
            </w:r>
            <w:r w:rsidR="00021F76" w:rsidRPr="00EC5F59">
              <w:rPr>
                <w:rStyle w:val="A4"/>
                <w:b/>
                <w:bCs/>
                <w:color w:val="000000" w:themeColor="text1"/>
              </w:rPr>
              <w:t xml:space="preserve">Aim: </w:t>
            </w:r>
            <w:r w:rsidR="009806D7" w:rsidRPr="009806D7">
              <w:rPr>
                <w:rStyle w:val="A4"/>
                <w:bCs/>
                <w:color w:val="000000" w:themeColor="text1"/>
              </w:rPr>
              <w:t>More than 8 million people die from tobacco each year, including an</w:t>
            </w:r>
            <w:r w:rsidR="00021F76" w:rsidRPr="009806D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estimated 3.3 mill</w:t>
            </w:r>
            <w:r w:rsidR="00021F76" w:rsidRPr="00EC5F5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ion deaths in 2017 from respiratory-related conditions such as chronic and acute respiratory diseases, </w:t>
            </w:r>
            <w:r w:rsidR="004C5F26" w:rsidRPr="00EC5F5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tuberculosis </w:t>
            </w:r>
            <w:r w:rsidR="004C5F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and </w:t>
            </w:r>
            <w:r w:rsidR="00021F76" w:rsidRPr="00EC5F59">
              <w:rPr>
                <w:color w:val="000000" w:themeColor="text1"/>
                <w:sz w:val="22"/>
                <w:szCs w:val="22"/>
                <w:shd w:val="clear" w:color="auto" w:fill="FFFFFF"/>
              </w:rPr>
              <w:t>lung cancers</w:t>
            </w:r>
            <w:r w:rsidR="00FA783B">
              <w:rPr>
                <w:color w:val="000000" w:themeColor="text1"/>
                <w:sz w:val="22"/>
                <w:szCs w:val="22"/>
                <w:lang w:eastAsia="en-AU"/>
              </w:rPr>
              <w:t xml:space="preserve">. </w:t>
            </w:r>
            <w:r w:rsidR="00021F76" w:rsidRPr="00FA783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In Australia, it was estimated that tobacco use was responsible for </w:t>
            </w:r>
            <w:r w:rsidR="000E7B53" w:rsidRPr="00FA783B">
              <w:rPr>
                <w:color w:val="000000" w:themeColor="text1"/>
                <w:sz w:val="22"/>
                <w:szCs w:val="22"/>
                <w:shd w:val="clear" w:color="auto" w:fill="FFFFFF"/>
              </w:rPr>
              <w:t>39.3%, 10.7% and 21.5% of the disease burden due to respiratory, cardiovascular and cancer, respectively,</w:t>
            </w:r>
            <w:r w:rsidR="00D264A5" w:rsidRPr="00FA783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in 2018.</w:t>
            </w:r>
            <w:r w:rsidR="00012526" w:rsidRPr="000E7B53">
              <w:rPr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493CB1">
              <w:rPr>
                <w:color w:val="000000" w:themeColor="text1"/>
                <w:sz w:val="22"/>
                <w:szCs w:val="22"/>
                <w:shd w:val="clear" w:color="auto" w:fill="FFFFFF"/>
              </w:rPr>
              <w:t>C</w:t>
            </w:r>
            <w:r w:rsidR="00021F76" w:rsidRPr="00EC5F59">
              <w:rPr>
                <w:color w:val="000000" w:themeColor="text1"/>
                <w:sz w:val="22"/>
                <w:szCs w:val="22"/>
              </w:rPr>
              <w:t>urrent estimation showed that under the conditions of a 30% expected treatment failure rate among non-smoking patients, a smoking prevalence of 20% could cause a 60% increased risk of failure of first-line cancer treatment. Smoking</w:t>
            </w:r>
            <w:r w:rsidR="00A745DF">
              <w:rPr>
                <w:color w:val="000000" w:themeColor="text1"/>
                <w:sz w:val="22"/>
                <w:szCs w:val="22"/>
              </w:rPr>
              <w:t xml:space="preserve"> and nicotine</w:t>
            </w:r>
            <w:r w:rsidR="00021F76" w:rsidRPr="00EC5F59">
              <w:rPr>
                <w:color w:val="000000" w:themeColor="text1"/>
                <w:sz w:val="22"/>
                <w:szCs w:val="22"/>
              </w:rPr>
              <w:t xml:space="preserve"> cessation is </w:t>
            </w:r>
            <w:r w:rsidR="00A235E4">
              <w:rPr>
                <w:color w:val="000000" w:themeColor="text1"/>
                <w:sz w:val="22"/>
                <w:szCs w:val="22"/>
              </w:rPr>
              <w:t xml:space="preserve">an important </w:t>
            </w:r>
            <w:r w:rsidR="00323A9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means to </w:t>
            </w:r>
            <w:r w:rsidR="00A235E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accelerating declines in </w:t>
            </w:r>
            <w:r w:rsidR="00DE1D6C">
              <w:rPr>
                <w:color w:val="000000" w:themeColor="text1"/>
                <w:sz w:val="22"/>
                <w:szCs w:val="22"/>
                <w:shd w:val="clear" w:color="auto" w:fill="FFFFFF"/>
              </w:rPr>
              <w:t>tobacco-</w:t>
            </w:r>
            <w:r w:rsidR="00A745DF">
              <w:rPr>
                <w:color w:val="000000" w:themeColor="text1"/>
                <w:sz w:val="22"/>
                <w:szCs w:val="22"/>
                <w:shd w:val="clear" w:color="auto" w:fill="FFFFFF"/>
              </w:rPr>
              <w:t>and vaping-</w:t>
            </w:r>
            <w:r w:rsidR="00021F76" w:rsidRPr="00EC5F5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related </w:t>
            </w:r>
            <w:r w:rsidR="004C5F26">
              <w:rPr>
                <w:color w:val="000000" w:themeColor="text1"/>
                <w:sz w:val="22"/>
                <w:szCs w:val="22"/>
                <w:shd w:val="clear" w:color="auto" w:fill="FFFFFF"/>
              </w:rPr>
              <w:t>harms</w:t>
            </w:r>
            <w:r w:rsidR="00021F76" w:rsidRPr="00EC5F5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="00A745D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with </w:t>
            </w:r>
            <w:r w:rsidR="00323A96">
              <w:rPr>
                <w:color w:val="000000" w:themeColor="text1"/>
                <w:sz w:val="22"/>
                <w:szCs w:val="22"/>
                <w:shd w:val="clear" w:color="auto" w:fill="FFFFFF"/>
              </w:rPr>
              <w:t>r</w:t>
            </w:r>
            <w:r w:rsidR="00323A96" w:rsidRPr="00323A96">
              <w:rPr>
                <w:color w:val="000000" w:themeColor="text1"/>
                <w:sz w:val="22"/>
                <w:szCs w:val="22"/>
              </w:rPr>
              <w:t xml:space="preserve">espiratory health professionals </w:t>
            </w:r>
            <w:r w:rsidR="00A745DF">
              <w:rPr>
                <w:color w:val="000000" w:themeColor="text1"/>
                <w:sz w:val="22"/>
                <w:szCs w:val="22"/>
              </w:rPr>
              <w:t>providing</w:t>
            </w:r>
            <w:r w:rsidR="00A235E4">
              <w:rPr>
                <w:color w:val="000000" w:themeColor="text1"/>
                <w:sz w:val="22"/>
                <w:szCs w:val="22"/>
              </w:rPr>
              <w:t xml:space="preserve"> </w:t>
            </w:r>
            <w:r w:rsidR="00323A96" w:rsidRPr="00323A96">
              <w:rPr>
                <w:color w:val="000000" w:themeColor="text1"/>
                <w:sz w:val="22"/>
                <w:szCs w:val="22"/>
              </w:rPr>
              <w:t>front line care</w:t>
            </w:r>
            <w:r w:rsidR="00A745DF">
              <w:rPr>
                <w:color w:val="000000" w:themeColor="text1"/>
                <w:sz w:val="22"/>
                <w:szCs w:val="22"/>
              </w:rPr>
              <w:t xml:space="preserve">. This </w:t>
            </w:r>
            <w:r w:rsidR="00167E09">
              <w:rPr>
                <w:color w:val="000000" w:themeColor="text1"/>
                <w:sz w:val="22"/>
                <w:szCs w:val="22"/>
              </w:rPr>
              <w:t xml:space="preserve">can make substantial </w:t>
            </w:r>
            <w:r w:rsidR="00323A96" w:rsidRPr="00323A96">
              <w:rPr>
                <w:color w:val="000000" w:themeColor="text1"/>
                <w:sz w:val="22"/>
                <w:szCs w:val="22"/>
              </w:rPr>
              <w:t>contribution</w:t>
            </w:r>
            <w:r w:rsidR="00167E09">
              <w:rPr>
                <w:color w:val="000000" w:themeColor="text1"/>
                <w:sz w:val="22"/>
                <w:szCs w:val="22"/>
              </w:rPr>
              <w:t>s</w:t>
            </w:r>
            <w:r w:rsidR="00323A96" w:rsidRPr="00323A96">
              <w:rPr>
                <w:color w:val="000000" w:themeColor="text1"/>
                <w:sz w:val="22"/>
                <w:szCs w:val="22"/>
              </w:rPr>
              <w:t xml:space="preserve"> </w:t>
            </w:r>
            <w:r w:rsidR="00167E09">
              <w:rPr>
                <w:color w:val="000000" w:themeColor="text1"/>
                <w:sz w:val="22"/>
                <w:szCs w:val="22"/>
              </w:rPr>
              <w:t xml:space="preserve">to supporting </w:t>
            </w:r>
            <w:r w:rsidR="00323A96">
              <w:rPr>
                <w:color w:val="000000" w:themeColor="text1"/>
                <w:sz w:val="22"/>
                <w:szCs w:val="22"/>
              </w:rPr>
              <w:t>quit</w:t>
            </w:r>
            <w:r w:rsidR="00167E09">
              <w:rPr>
                <w:color w:val="000000" w:themeColor="text1"/>
                <w:sz w:val="22"/>
                <w:szCs w:val="22"/>
              </w:rPr>
              <w:t xml:space="preserve"> attempts and staying quit, ultimately improving health outcomes</w:t>
            </w:r>
            <w:r w:rsidR="00323A96">
              <w:rPr>
                <w:color w:val="000000" w:themeColor="text1"/>
                <w:sz w:val="22"/>
                <w:szCs w:val="22"/>
              </w:rPr>
              <w:t xml:space="preserve">. </w:t>
            </w:r>
            <w:r w:rsidR="00D264A5">
              <w:rPr>
                <w:color w:val="000000" w:themeColor="text1"/>
                <w:sz w:val="22"/>
                <w:szCs w:val="22"/>
              </w:rPr>
              <w:t>T</w:t>
            </w:r>
            <w:r w:rsidR="0050168D" w:rsidRPr="00EC5F5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his paper </w:t>
            </w:r>
            <w:r w:rsidR="00D264A5">
              <w:rPr>
                <w:color w:val="000000" w:themeColor="text1"/>
                <w:sz w:val="22"/>
                <w:szCs w:val="22"/>
              </w:rPr>
              <w:t xml:space="preserve">quantified </w:t>
            </w:r>
            <w:r w:rsidR="0050168D" w:rsidRPr="00EC5F59">
              <w:rPr>
                <w:color w:val="000000" w:themeColor="text1"/>
                <w:sz w:val="22"/>
                <w:szCs w:val="22"/>
              </w:rPr>
              <w:t>Medicare Benefits Schedule (MBS) nicot</w:t>
            </w:r>
            <w:r w:rsidR="00DE1D6C">
              <w:rPr>
                <w:color w:val="000000" w:themeColor="text1"/>
                <w:sz w:val="22"/>
                <w:szCs w:val="22"/>
              </w:rPr>
              <w:t xml:space="preserve">ine and smoking cessation items </w:t>
            </w:r>
            <w:r w:rsidR="0050168D" w:rsidRPr="00EC5F59">
              <w:rPr>
                <w:color w:val="000000" w:themeColor="text1"/>
                <w:sz w:val="22"/>
                <w:szCs w:val="22"/>
              </w:rPr>
              <w:t>from July 2021 to May 2023.</w:t>
            </w:r>
          </w:p>
          <w:p w:rsidR="00A4416E" w:rsidRPr="00A4416E" w:rsidRDefault="00A4416E" w:rsidP="00EE23C0">
            <w:pPr>
              <w:pStyle w:val="Default"/>
            </w:pPr>
          </w:p>
          <w:p w:rsidR="0050168D" w:rsidRDefault="0050168D" w:rsidP="00EE23C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5F5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Methods: </w:t>
            </w:r>
            <w:r w:rsidRPr="00EC5F5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We analysed</w:t>
            </w:r>
            <w:r w:rsidRPr="00EC5F5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5F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MBS data claimed for </w:t>
            </w:r>
            <w:r w:rsidR="0039036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Pr="00EC5F59">
              <w:rPr>
                <w:rFonts w:ascii="Arial" w:hAnsi="Arial" w:cs="Arial"/>
                <w:color w:val="000000" w:themeColor="text1"/>
                <w:sz w:val="22"/>
                <w:szCs w:val="22"/>
              </w:rPr>
              <w:t>nicotine and smoking cessation services p</w:t>
            </w:r>
            <w:r w:rsidR="00EC5F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rocessed by Services Australia. </w:t>
            </w:r>
            <w:r w:rsidR="00167E0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 </w:t>
            </w:r>
            <w:r w:rsidR="00167E09" w:rsidRPr="00EC5F59">
              <w:rPr>
                <w:rFonts w:ascii="Arial" w:hAnsi="Arial" w:cs="Arial"/>
                <w:color w:val="000000" w:themeColor="text1"/>
                <w:sz w:val="22"/>
                <w:szCs w:val="22"/>
              </w:rPr>
              <w:t>quantified</w:t>
            </w:r>
            <w:r w:rsidR="001F0F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67E0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18 </w:t>
            </w:r>
            <w:r w:rsidRPr="00EC5F59">
              <w:rPr>
                <w:rFonts w:ascii="Arial" w:hAnsi="Arial" w:cs="Arial"/>
                <w:color w:val="000000" w:themeColor="text1"/>
                <w:sz w:val="22"/>
                <w:szCs w:val="22"/>
              </w:rPr>
              <w:t>MBS items available for face-to-face and telehealth services, overall</w:t>
            </w:r>
            <w:r w:rsidR="001F0F75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EC5F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by jurisdictions, time and patients’ characteristics. </w:t>
            </w:r>
          </w:p>
          <w:p w:rsidR="00A4416E" w:rsidRPr="00EC5F59" w:rsidRDefault="00A4416E" w:rsidP="00EE23C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0168D" w:rsidRDefault="0050168D" w:rsidP="00EE23C0">
            <w:pPr>
              <w:jc w:val="both"/>
              <w:rPr>
                <w:rFonts w:ascii="Arial" w:eastAsiaTheme="minorEastAsia" w:hAnsi="Arial" w:cs="Arial"/>
                <w:bCs/>
                <w:color w:val="000000" w:themeColor="text1"/>
                <w:kern w:val="24"/>
                <w:sz w:val="22"/>
                <w:szCs w:val="22"/>
              </w:rPr>
            </w:pPr>
            <w:r w:rsidRPr="00EC5F5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Results:</w:t>
            </w:r>
            <w:r w:rsidRPr="00EC5F59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 Overall, 94,862 nicotine and smoking cessation services claims were processed between July 2021 and May 2023. These services were offered via face-to-face (n=57,491), telephone (n=23,943) and video-conferencing (n=13,428). The vast majority of the claims were shorter consults</w:t>
            </w:r>
            <w:r w:rsidR="00EC5F59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 made by General Practitioners (GPs)</w:t>
            </w:r>
            <w:r w:rsidRPr="00EC5F59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 in an appointment under 20 minutes. Greater number</w:t>
            </w:r>
            <w:r w:rsidR="001F0F75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s</w:t>
            </w:r>
            <w:r w:rsidRPr="00EC5F59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 xml:space="preserve"> of male patients were used video-conferencing services than females. </w:t>
            </w:r>
            <w:r w:rsidR="001F0F75">
              <w:rPr>
                <w:rFonts w:ascii="Arial" w:eastAsiaTheme="minorEastAsia" w:hAnsi="Arial" w:cs="Arial"/>
                <w:bCs/>
                <w:color w:val="000000" w:themeColor="text1"/>
                <w:kern w:val="24"/>
                <w:sz w:val="22"/>
                <w:szCs w:val="22"/>
              </w:rPr>
              <w:t xml:space="preserve">Claim numbers varied </w:t>
            </w:r>
            <w:r w:rsidRPr="00EC5F59">
              <w:rPr>
                <w:rFonts w:ascii="Arial" w:eastAsiaTheme="minorEastAsia" w:hAnsi="Arial" w:cs="Arial"/>
                <w:bCs/>
                <w:color w:val="000000" w:themeColor="text1"/>
                <w:kern w:val="24"/>
                <w:sz w:val="22"/>
                <w:szCs w:val="22"/>
              </w:rPr>
              <w:t xml:space="preserve">over time for all items, and </w:t>
            </w:r>
            <w:r w:rsidRPr="00EC5F59"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  <w:t>by jurisdiction and patients’ age</w:t>
            </w:r>
            <w:r w:rsidRPr="00EC5F59">
              <w:rPr>
                <w:rFonts w:ascii="Arial" w:eastAsiaTheme="minorEastAsia" w:hAnsi="Arial" w:cs="Arial"/>
                <w:bCs/>
                <w:color w:val="000000" w:themeColor="text1"/>
                <w:kern w:val="24"/>
                <w:sz w:val="22"/>
                <w:szCs w:val="22"/>
              </w:rPr>
              <w:t>.</w:t>
            </w:r>
          </w:p>
          <w:p w:rsidR="00A4416E" w:rsidRPr="00EC5F59" w:rsidRDefault="00A4416E" w:rsidP="00EE23C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en-AU"/>
              </w:rPr>
            </w:pPr>
          </w:p>
          <w:p w:rsidR="00A4416E" w:rsidRDefault="0050168D" w:rsidP="00EE23C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5F5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Conclusion:</w:t>
            </w:r>
            <w:r w:rsidR="004F303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617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majority of people who smoke want to quit, or wish they never took up smoking. </w:t>
            </w:r>
            <w:r w:rsidR="004F303F" w:rsidRPr="004F303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study </w:t>
            </w:r>
            <w:r w:rsidR="0086173A">
              <w:rPr>
                <w:rFonts w:ascii="Arial" w:hAnsi="Arial" w:cs="Arial"/>
                <w:color w:val="000000" w:themeColor="text1"/>
                <w:sz w:val="22"/>
                <w:szCs w:val="22"/>
              </w:rPr>
              <w:t>outlined</w:t>
            </w:r>
            <w:r w:rsidR="006243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MBS </w:t>
            </w:r>
            <w:r w:rsidR="004F303F" w:rsidRPr="004F303F">
              <w:rPr>
                <w:rFonts w:ascii="Arial" w:hAnsi="Arial" w:cs="Arial"/>
                <w:color w:val="000000" w:themeColor="text1"/>
                <w:sz w:val="22"/>
                <w:szCs w:val="22"/>
              </w:rPr>
              <w:t>nicotine and smoking cessation counselling service utilisation across all states and territories</w:t>
            </w:r>
            <w:r w:rsidR="0062436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4F303F" w:rsidRPr="004F303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24360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4F303F" w:rsidRPr="004F303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here is a need </w:t>
            </w:r>
            <w:r w:rsidR="001500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</w:t>
            </w:r>
            <w:r w:rsidR="004F303F" w:rsidRPr="004F303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better </w:t>
            </w:r>
            <w:r w:rsidR="0015001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utilise </w:t>
            </w:r>
            <w:r w:rsidR="004F303F" w:rsidRPr="004F303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items and to encourage their use in order to support the 2.3 million Australians who smoke daily to quit, and stay quit, </w:t>
            </w:r>
            <w:r w:rsidR="008617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ultimately </w:t>
            </w:r>
            <w:r w:rsidR="00624360">
              <w:rPr>
                <w:rFonts w:ascii="Arial" w:hAnsi="Arial" w:cs="Arial"/>
                <w:color w:val="000000" w:themeColor="text1"/>
                <w:sz w:val="22"/>
                <w:szCs w:val="22"/>
              </w:rPr>
              <w:t>improving health outcomes</w:t>
            </w:r>
            <w:r w:rsidR="004F303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A4416E" w:rsidRDefault="00A4416E" w:rsidP="00EE23C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4416E" w:rsidRDefault="00A4416E" w:rsidP="00EE23C0">
            <w:pPr>
              <w:jc w:val="both"/>
              <w:rPr>
                <w:rStyle w:val="A4"/>
                <w:rFonts w:ascii="Arial" w:hAnsi="Arial" w:cs="Arial"/>
                <w:bCs/>
              </w:rPr>
            </w:pPr>
            <w:r>
              <w:rPr>
                <w:rStyle w:val="A4"/>
                <w:rFonts w:ascii="Arial" w:hAnsi="Arial" w:cs="Arial"/>
                <w:b/>
                <w:bCs/>
              </w:rPr>
              <w:t xml:space="preserve">Grant Support: </w:t>
            </w:r>
            <w:r w:rsidR="00805CF9" w:rsidRPr="00805CF9">
              <w:rPr>
                <w:rStyle w:val="A4"/>
                <w:rFonts w:ascii="Arial" w:hAnsi="Arial" w:cs="Arial"/>
                <w:bCs/>
              </w:rPr>
              <w:t xml:space="preserve">This </w:t>
            </w:r>
            <w:r w:rsidR="00805CF9">
              <w:rPr>
                <w:rStyle w:val="A4"/>
                <w:rFonts w:ascii="Arial" w:hAnsi="Arial" w:cs="Arial"/>
                <w:bCs/>
              </w:rPr>
              <w:t>work did</w:t>
            </w:r>
            <w:r w:rsidR="00805CF9" w:rsidRPr="00805CF9">
              <w:rPr>
                <w:rStyle w:val="A4"/>
                <w:rFonts w:ascii="Arial" w:hAnsi="Arial" w:cs="Arial"/>
                <w:bCs/>
              </w:rPr>
              <w:t xml:space="preserve"> not receive grant from </w:t>
            </w:r>
            <w:r>
              <w:rPr>
                <w:rStyle w:val="A4"/>
                <w:rFonts w:ascii="Arial" w:hAnsi="Arial" w:cs="Arial"/>
                <w:bCs/>
              </w:rPr>
              <w:t>anybody.</w:t>
            </w:r>
          </w:p>
          <w:p w:rsidR="001564A4" w:rsidRPr="00A4416E" w:rsidRDefault="001564A4" w:rsidP="00EE23C0">
            <w:pPr>
              <w:jc w:val="both"/>
              <w:rPr>
                <w:rStyle w:val="A4"/>
                <w:rFonts w:ascii="Arial" w:hAnsi="Arial" w:cs="Arial"/>
                <w:color w:val="000000" w:themeColor="text1"/>
              </w:rPr>
            </w:pPr>
            <w:r w:rsidRPr="0050168D">
              <w:rPr>
                <w:sz w:val="22"/>
                <w:szCs w:val="22"/>
              </w:rPr>
              <w:br/>
            </w:r>
            <w:r w:rsidRPr="0050168D">
              <w:rPr>
                <w:rStyle w:val="A4"/>
                <w:bCs/>
              </w:rPr>
              <w:br/>
            </w:r>
            <w:r w:rsidRPr="0050168D">
              <w:rPr>
                <w:rStyle w:val="A4"/>
                <w:bCs/>
              </w:rPr>
              <w:br/>
            </w:r>
            <w:r w:rsidRPr="0050168D">
              <w:rPr>
                <w:rStyle w:val="A4"/>
                <w:bCs/>
              </w:rPr>
              <w:br/>
            </w:r>
            <w:r w:rsidRPr="0050168D">
              <w:rPr>
                <w:rStyle w:val="A4"/>
                <w:bCs/>
              </w:rPr>
              <w:br/>
            </w:r>
          </w:p>
          <w:p w:rsidR="001564A4" w:rsidRPr="0050168D" w:rsidRDefault="001564A4" w:rsidP="00EE23C0">
            <w:pPr>
              <w:pStyle w:val="Default"/>
              <w:rPr>
                <w:rStyle w:val="A4"/>
                <w:bCs/>
              </w:rPr>
            </w:pPr>
          </w:p>
          <w:p w:rsidR="001564A4" w:rsidRPr="0050168D" w:rsidRDefault="001564A4" w:rsidP="00EE23C0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  <w:r w:rsidRPr="0050168D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A4"/>
    <w:rsid w:val="00012526"/>
    <w:rsid w:val="00021F76"/>
    <w:rsid w:val="000E7B53"/>
    <w:rsid w:val="0015001C"/>
    <w:rsid w:val="001564A4"/>
    <w:rsid w:val="00167E09"/>
    <w:rsid w:val="001F0F75"/>
    <w:rsid w:val="00323A96"/>
    <w:rsid w:val="00390361"/>
    <w:rsid w:val="004044B9"/>
    <w:rsid w:val="00493CB1"/>
    <w:rsid w:val="004C3490"/>
    <w:rsid w:val="004C5F26"/>
    <w:rsid w:val="004F303F"/>
    <w:rsid w:val="0050168D"/>
    <w:rsid w:val="0051574E"/>
    <w:rsid w:val="0058555C"/>
    <w:rsid w:val="00604097"/>
    <w:rsid w:val="00624360"/>
    <w:rsid w:val="006B3ECC"/>
    <w:rsid w:val="00735F02"/>
    <w:rsid w:val="007660F6"/>
    <w:rsid w:val="00777941"/>
    <w:rsid w:val="00805CF9"/>
    <w:rsid w:val="0086173A"/>
    <w:rsid w:val="008803FA"/>
    <w:rsid w:val="009806D7"/>
    <w:rsid w:val="00A235E4"/>
    <w:rsid w:val="00A4416E"/>
    <w:rsid w:val="00A745DF"/>
    <w:rsid w:val="00B12E32"/>
    <w:rsid w:val="00B42B56"/>
    <w:rsid w:val="00C0048F"/>
    <w:rsid w:val="00C63CED"/>
    <w:rsid w:val="00D264A5"/>
    <w:rsid w:val="00DE1D6C"/>
    <w:rsid w:val="00E0700F"/>
    <w:rsid w:val="00E348F6"/>
    <w:rsid w:val="00EC5F59"/>
    <w:rsid w:val="00EE23C0"/>
    <w:rsid w:val="00FA783B"/>
    <w:rsid w:val="00FD21AE"/>
    <w:rsid w:val="00FE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B70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8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Daniel Odo</cp:lastModifiedBy>
  <cp:revision>7</cp:revision>
  <dcterms:created xsi:type="dcterms:W3CDTF">2023-10-18T04:14:00Z</dcterms:created>
  <dcterms:modified xsi:type="dcterms:W3CDTF">2023-10-18T23:45:00Z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