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2A343C" w:rsidRPr="004A44B8" w14:paraId="191B9974" w14:textId="77777777" w:rsidTr="008F3649">
        <w:trPr>
          <w:trHeight w:val="478"/>
        </w:trPr>
        <w:tc>
          <w:tcPr>
            <w:tcW w:w="9405" w:type="dxa"/>
            <w:shd w:val="clear" w:color="auto" w:fill="auto"/>
          </w:tcPr>
          <w:p w14:paraId="29EA35B8" w14:textId="4D2B769D" w:rsidR="002A343C" w:rsidRPr="004A44B8" w:rsidRDefault="004A44B8" w:rsidP="004A44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Infective Endocarditis in the </w:t>
            </w:r>
            <w:proofErr w:type="spellStart"/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Te</w:t>
            </w:r>
            <w:proofErr w:type="spellEnd"/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Manawa Taki Region: Demographics and Burden of disease</w:t>
            </w:r>
            <w:r w:rsidRPr="004A44B8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343C" w:rsidRPr="004A44B8" w14:paraId="67D1E519" w14:textId="77777777" w:rsidTr="008F3649">
        <w:trPr>
          <w:trHeight w:val="9049"/>
        </w:trPr>
        <w:tc>
          <w:tcPr>
            <w:tcW w:w="9405" w:type="dxa"/>
            <w:shd w:val="clear" w:color="auto" w:fill="auto"/>
          </w:tcPr>
          <w:p w14:paraId="52DAC72A" w14:textId="75FA29DE" w:rsidR="002A343C" w:rsidRPr="004A44B8" w:rsidRDefault="002A343C" w:rsidP="008F364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i/>
                <w:iCs/>
                <w:sz w:val="22"/>
                <w:szCs w:val="22"/>
                <w:lang w:eastAsia="en-NZ"/>
              </w:rPr>
            </w:pPr>
            <w:r w:rsidRPr="004A44B8">
              <w:rPr>
                <w:rFonts w:ascii="Arial" w:hAnsi="Arial" w:cs="Arial"/>
                <w:b/>
                <w:sz w:val="22"/>
                <w:szCs w:val="22"/>
                <w:lang w:eastAsia="en-NZ"/>
              </w:rPr>
              <w:br/>
            </w:r>
            <w:bookmarkStart w:id="0" w:name="_Hlk22563209"/>
            <w:r w:rsidRPr="004A44B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Aim: </w:t>
            </w:r>
          </w:p>
          <w:p w14:paraId="5428C145" w14:textId="585172CE" w:rsidR="002A343C" w:rsidRPr="004A44B8" w:rsidRDefault="004A44B8" w:rsidP="004A44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Minimal data exist on infective endocarditis (IE) in New Zealand. Waikato Hospital treats patients across the </w:t>
            </w:r>
            <w:proofErr w:type="spellStart"/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Te</w:t>
            </w:r>
            <w:proofErr w:type="spellEnd"/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Manawa Taki region. We aim to better understand the epidemiology, management, and outcomes of patients referred. </w:t>
            </w:r>
            <w:r w:rsidRPr="004A44B8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A8B5DF1" w14:textId="77777777" w:rsidR="002A343C" w:rsidRPr="004A44B8" w:rsidRDefault="002A343C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</w:p>
          <w:p w14:paraId="0F9FB348" w14:textId="77777777" w:rsidR="002A343C" w:rsidRPr="004A44B8" w:rsidRDefault="002A343C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4A44B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Method: </w:t>
            </w:r>
          </w:p>
          <w:p w14:paraId="7CAD84A1" w14:textId="77777777" w:rsidR="002A343C" w:rsidRPr="004A44B8" w:rsidRDefault="002A343C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73DB4A37" w14:textId="3419A76B" w:rsidR="002A343C" w:rsidRPr="004A44B8" w:rsidRDefault="004A44B8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We retrospectively analyzed health records for patients admitted to Waikato Hospital from January 2016 to November 2023 with a diagnosis of Infective Endocarditis code at discharge. Cases were defined using the 2023 Modified Dukes Criteria and we collected 85 variables. </w:t>
            </w:r>
            <w:r w:rsidRPr="004A44B8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BB2282" w14:textId="77777777" w:rsidR="002A343C" w:rsidRPr="004A44B8" w:rsidRDefault="002A343C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</w:p>
          <w:p w14:paraId="25419A3D" w14:textId="60840459" w:rsidR="004A44B8" w:rsidRPr="004A44B8" w:rsidRDefault="002A343C" w:rsidP="004A44B8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4A44B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Results: </w:t>
            </w:r>
          </w:p>
          <w:p w14:paraId="2B0E7287" w14:textId="77777777" w:rsidR="004A44B8" w:rsidRPr="004A44B8" w:rsidRDefault="004A44B8" w:rsidP="004A44B8">
            <w:pPr>
              <w:rPr>
                <w:rStyle w:val="normaltextrun"/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3E811E96" w14:textId="0CA339A5" w:rsidR="002A343C" w:rsidRPr="004A44B8" w:rsidRDefault="004A44B8" w:rsidP="008F3649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We identified 393 episodes of IE (251 definite IE) from 371 individuals (71% male, median age 65 (IQR 54-76) years, 32% identified as Māori) with up-trending cases over the years. Prosthetic valves were involved in 26% of patients and 43% of admissions were transfers from other hospitals. Significant risk factors were intravenous drug-use (4%), rheumatic heart disease (7%), eGFR&lt;15mL/min (9%) and cardiac implantable electronic devices (7%). Mean </w:t>
            </w:r>
            <w:proofErr w:type="spellStart"/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Euroscore</w:t>
            </w:r>
            <w:proofErr w:type="spellEnd"/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II was 14.61±0.71%. The most common pathogen was Staphylococcus aureus (42%). Surgery was performed in 32% of patients. Infectious Disease service input was sought for all, whilst cardiothoracic and cardiology input was on request. Median admission duration was 15 (IQR 10-24) days. One year readmission rate for any cause was 38%, mortality was 30% and 29% of all episodes required ICU admission. </w:t>
            </w:r>
          </w:p>
          <w:p w14:paraId="7AFA2782" w14:textId="77777777" w:rsidR="002A343C" w:rsidRPr="004A44B8" w:rsidRDefault="002A343C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</w:p>
          <w:p w14:paraId="69CAA321" w14:textId="77777777" w:rsidR="002A343C" w:rsidRPr="004A44B8" w:rsidRDefault="002A343C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4A44B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Conclusion: </w:t>
            </w:r>
          </w:p>
          <w:p w14:paraId="61232A05" w14:textId="77777777" w:rsidR="004A44B8" w:rsidRPr="004A44B8" w:rsidRDefault="004A44B8" w:rsidP="004A44B8">
            <w:pPr>
              <w:pStyle w:val="NormalWeb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A44B8">
              <w:rPr>
                <w:rFonts w:ascii="Arial" w:hAnsi="Arial" w:cs="Arial"/>
                <w:sz w:val="22"/>
                <w:szCs w:val="22"/>
              </w:rPr>
              <w:t xml:space="preserve">Comparable to international data, patients treated for IE at Waikato hospital have significant morbidity and mortality rates. Patients often require surgery, intensive care and have notable readmission rates. </w:t>
            </w:r>
            <w:r w:rsidRPr="004A44B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This baseline assessment will provide a comparator for planned prospective analysis.</w:t>
            </w:r>
          </w:p>
          <w:p w14:paraId="60CB1BEC" w14:textId="77777777" w:rsidR="002A343C" w:rsidRPr="004A44B8" w:rsidRDefault="002A343C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6AFB0CB7" w14:textId="77777777" w:rsidR="002A343C" w:rsidRPr="004A44B8" w:rsidRDefault="002A343C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3C23BC78" w14:textId="77777777" w:rsidR="002A343C" w:rsidRPr="004A44B8" w:rsidRDefault="002A343C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bookmarkEnd w:id="0"/>
          <w:p w14:paraId="42022854" w14:textId="77777777" w:rsidR="002A343C" w:rsidRPr="004A44B8" w:rsidRDefault="002A343C" w:rsidP="008F3649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</w:tc>
      </w:tr>
    </w:tbl>
    <w:p w14:paraId="7A4ECDF7" w14:textId="77777777" w:rsidR="002A343C" w:rsidRPr="004A44B8" w:rsidRDefault="002A343C" w:rsidP="002A343C">
      <w:pPr>
        <w:rPr>
          <w:rFonts w:ascii="Arial" w:hAnsi="Arial" w:cs="Arial"/>
          <w:sz w:val="22"/>
          <w:szCs w:val="22"/>
        </w:rPr>
      </w:pPr>
    </w:p>
    <w:p w14:paraId="715EA805" w14:textId="77777777" w:rsidR="00D131DE" w:rsidRPr="004A44B8" w:rsidRDefault="00D131DE">
      <w:pPr>
        <w:rPr>
          <w:rFonts w:ascii="Arial" w:hAnsi="Arial" w:cs="Arial"/>
          <w:sz w:val="22"/>
          <w:szCs w:val="22"/>
        </w:rPr>
      </w:pPr>
    </w:p>
    <w:sectPr w:rsidR="00D131DE" w:rsidRPr="004A44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3C"/>
    <w:rsid w:val="002A343C"/>
    <w:rsid w:val="004A44B8"/>
    <w:rsid w:val="00B12682"/>
    <w:rsid w:val="00D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4D39"/>
  <w15:chartTrackingRefBased/>
  <w15:docId w15:val="{05E89FEF-26ED-4165-81FB-BABD863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3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A44B8"/>
  </w:style>
  <w:style w:type="character" w:customStyle="1" w:styleId="eop">
    <w:name w:val="eop"/>
    <w:basedOn w:val="DefaultParagraphFont"/>
    <w:rsid w:val="004A44B8"/>
  </w:style>
  <w:style w:type="paragraph" w:customStyle="1" w:styleId="paragraph">
    <w:name w:val="paragraph"/>
    <w:basedOn w:val="Normal"/>
    <w:rsid w:val="004A44B8"/>
    <w:pPr>
      <w:spacing w:before="100" w:beforeAutospacing="1" w:after="100" w:afterAutospacing="1"/>
    </w:pPr>
    <w:rPr>
      <w:lang w:val="en-NZ" w:eastAsia="en-NZ"/>
    </w:rPr>
  </w:style>
  <w:style w:type="paragraph" w:styleId="NormalWeb">
    <w:name w:val="Normal (Web)"/>
    <w:basedOn w:val="Normal"/>
    <w:uiPriority w:val="99"/>
    <w:semiHidden/>
    <w:unhideWhenUsed/>
    <w:rsid w:val="004A44B8"/>
    <w:pPr>
      <w:spacing w:before="100" w:beforeAutospacing="1" w:after="100" w:afterAutospacing="1"/>
    </w:pPr>
    <w:rPr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Mikaylah-Rose McBirney</dc:creator>
  <cp:keywords/>
  <dc:description/>
  <cp:lastModifiedBy>Tina Cherian</cp:lastModifiedBy>
  <cp:revision>2</cp:revision>
  <dcterms:created xsi:type="dcterms:W3CDTF">2025-02-16T04:08:00Z</dcterms:created>
  <dcterms:modified xsi:type="dcterms:W3CDTF">2025-02-16T04:08:00Z</dcterms:modified>
</cp:coreProperties>
</file>