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9"/>
      </w:tblGrid>
      <w:tr w:rsidR="001564A4" w:rsidRPr="0050053A" w14:paraId="5C38377B" w14:textId="77777777" w:rsidTr="00052594">
        <w:trPr>
          <w:trHeight w:val="1042"/>
          <w:jc w:val="center"/>
        </w:trPr>
        <w:tc>
          <w:tcPr>
            <w:tcW w:w="8669" w:type="dxa"/>
            <w:shd w:val="clear" w:color="auto" w:fill="auto"/>
          </w:tcPr>
          <w:p w14:paraId="5C44F357" w14:textId="02A185D8" w:rsidR="001564A4" w:rsidRPr="00052594" w:rsidRDefault="00052594" w:rsidP="000A28E2">
            <w:pPr>
              <w:spacing w:before="120" w:after="120"/>
              <w:rPr>
                <w:rFonts w:ascii="Arial" w:hAnsi="Arial" w:cs="Arial"/>
                <w:b/>
                <w:sz w:val="22"/>
                <w:szCs w:val="22"/>
                <w:lang w:val="en-AU" w:eastAsia="en-GB"/>
              </w:rPr>
            </w:pPr>
            <w:r w:rsidRPr="00052594">
              <w:rPr>
                <w:rFonts w:ascii="Arial" w:hAnsi="Arial" w:cs="Arial"/>
                <w:b/>
                <w:sz w:val="22"/>
                <w:szCs w:val="22"/>
                <w:lang w:val="en-AU" w:eastAsia="en-GB"/>
              </w:rPr>
              <w:t xml:space="preserve">New ERS/ATS </w:t>
            </w:r>
            <w:r w:rsidR="00E02A7A">
              <w:rPr>
                <w:rFonts w:ascii="Arial" w:hAnsi="Arial" w:cs="Arial"/>
                <w:b/>
                <w:sz w:val="22"/>
                <w:szCs w:val="22"/>
                <w:lang w:val="en-AU" w:eastAsia="en-GB"/>
              </w:rPr>
              <w:t>g</w:t>
            </w:r>
            <w:r w:rsidRPr="00052594">
              <w:rPr>
                <w:rFonts w:ascii="Arial" w:hAnsi="Arial" w:cs="Arial"/>
                <w:b/>
                <w:sz w:val="22"/>
                <w:szCs w:val="22"/>
                <w:lang w:val="en-AU" w:eastAsia="en-GB"/>
              </w:rPr>
              <w:t xml:space="preserve">uidelines for </w:t>
            </w:r>
            <w:r w:rsidR="00E02A7A">
              <w:rPr>
                <w:rFonts w:ascii="Arial" w:hAnsi="Arial" w:cs="Arial"/>
                <w:b/>
                <w:sz w:val="22"/>
                <w:szCs w:val="22"/>
                <w:lang w:val="en-AU" w:eastAsia="en-GB"/>
              </w:rPr>
              <w:t>r</w:t>
            </w:r>
            <w:r w:rsidRPr="00052594">
              <w:rPr>
                <w:rFonts w:ascii="Arial" w:hAnsi="Arial" w:cs="Arial"/>
                <w:b/>
                <w:sz w:val="22"/>
                <w:szCs w:val="22"/>
                <w:lang w:val="en-AU" w:eastAsia="en-GB"/>
              </w:rPr>
              <w:t xml:space="preserve">estriction and DLCO applied to Australian Scleroderma </w:t>
            </w:r>
            <w:r w:rsidR="00E02A7A">
              <w:rPr>
                <w:rFonts w:ascii="Arial" w:hAnsi="Arial" w:cs="Arial"/>
                <w:b/>
                <w:sz w:val="22"/>
                <w:szCs w:val="22"/>
                <w:lang w:val="en-AU" w:eastAsia="en-GB"/>
              </w:rPr>
              <w:t>p</w:t>
            </w:r>
            <w:r w:rsidRPr="00052594">
              <w:rPr>
                <w:rFonts w:ascii="Arial" w:hAnsi="Arial" w:cs="Arial"/>
                <w:b/>
                <w:sz w:val="22"/>
                <w:szCs w:val="22"/>
                <w:lang w:val="en-AU" w:eastAsia="en-GB"/>
              </w:rPr>
              <w:t xml:space="preserve">atient </w:t>
            </w:r>
            <w:r w:rsidR="00E02A7A">
              <w:rPr>
                <w:rFonts w:ascii="Arial" w:hAnsi="Arial" w:cs="Arial"/>
                <w:b/>
                <w:sz w:val="22"/>
                <w:szCs w:val="22"/>
                <w:lang w:val="en-AU" w:eastAsia="en-GB"/>
              </w:rPr>
              <w:t>c</w:t>
            </w:r>
            <w:r w:rsidRPr="00052594">
              <w:rPr>
                <w:rFonts w:ascii="Arial" w:hAnsi="Arial" w:cs="Arial"/>
                <w:b/>
                <w:sz w:val="22"/>
                <w:szCs w:val="22"/>
                <w:lang w:val="en-AU" w:eastAsia="en-GB"/>
              </w:rPr>
              <w:t>ohort</w:t>
            </w:r>
          </w:p>
        </w:tc>
      </w:tr>
      <w:tr w:rsidR="001564A4" w:rsidRPr="0050053A" w14:paraId="0E2E035C" w14:textId="77777777" w:rsidTr="00052594">
        <w:trPr>
          <w:trHeight w:val="702"/>
          <w:jc w:val="center"/>
        </w:trPr>
        <w:tc>
          <w:tcPr>
            <w:tcW w:w="8669" w:type="dxa"/>
            <w:shd w:val="clear" w:color="auto" w:fill="auto"/>
          </w:tcPr>
          <w:p w14:paraId="73B55295" w14:textId="4280CED5" w:rsidR="001564A4" w:rsidRPr="00052594" w:rsidRDefault="00052594" w:rsidP="000A28E2">
            <w:pPr>
              <w:spacing w:before="120" w:after="120"/>
              <w:rPr>
                <w:rFonts w:ascii="Arial" w:hAnsi="Arial" w:cs="Arial"/>
                <w:sz w:val="22"/>
                <w:szCs w:val="22"/>
                <w:lang w:val="en-AU" w:eastAsia="en-GB"/>
              </w:rPr>
            </w:pPr>
            <w:r w:rsidRPr="00052594">
              <w:rPr>
                <w:rFonts w:ascii="Arial" w:hAnsi="Arial" w:cs="Arial"/>
                <w:sz w:val="22"/>
                <w:szCs w:val="22"/>
                <w:lang w:val="en-AU" w:eastAsia="en-GB"/>
              </w:rPr>
              <w:t>Ian Wang</w:t>
            </w:r>
            <w:r w:rsidRPr="00052594">
              <w:rPr>
                <w:rFonts w:ascii="Arial" w:hAnsi="Arial" w:cs="Arial"/>
                <w:sz w:val="22"/>
                <w:szCs w:val="22"/>
                <w:vertAlign w:val="superscript"/>
                <w:lang w:val="en-AU" w:eastAsia="en-GB"/>
              </w:rPr>
              <w:t>1</w:t>
            </w:r>
            <w:r w:rsidRPr="00052594">
              <w:rPr>
                <w:rFonts w:ascii="Arial" w:hAnsi="Arial" w:cs="Arial"/>
                <w:sz w:val="22"/>
                <w:szCs w:val="22"/>
                <w:lang w:val="en-AU" w:eastAsia="en-GB"/>
              </w:rPr>
              <w:t>, Laura Ross</w:t>
            </w:r>
            <w:r w:rsidRPr="00052594">
              <w:rPr>
                <w:rFonts w:ascii="Arial" w:hAnsi="Arial" w:cs="Arial"/>
                <w:sz w:val="22"/>
                <w:szCs w:val="22"/>
                <w:vertAlign w:val="superscript"/>
                <w:lang w:val="en-AU" w:eastAsia="en-GB"/>
              </w:rPr>
              <w:t>2,3</w:t>
            </w:r>
            <w:r w:rsidRPr="00052594">
              <w:rPr>
                <w:rFonts w:ascii="Arial" w:hAnsi="Arial" w:cs="Arial"/>
                <w:sz w:val="22"/>
                <w:szCs w:val="22"/>
                <w:lang w:val="en-AU" w:eastAsia="en-GB"/>
              </w:rPr>
              <w:t>, Wendy Stevens</w:t>
            </w:r>
            <w:r w:rsidRPr="00052594">
              <w:rPr>
                <w:rFonts w:ascii="Arial" w:hAnsi="Arial" w:cs="Arial"/>
                <w:sz w:val="22"/>
                <w:szCs w:val="22"/>
                <w:vertAlign w:val="superscript"/>
                <w:lang w:val="en-AU" w:eastAsia="en-GB"/>
              </w:rPr>
              <w:t>2</w:t>
            </w:r>
            <w:r w:rsidRPr="00052594">
              <w:rPr>
                <w:rFonts w:ascii="Arial" w:hAnsi="Arial" w:cs="Arial"/>
                <w:sz w:val="22"/>
                <w:szCs w:val="22"/>
                <w:lang w:val="en-AU" w:eastAsia="en-GB"/>
              </w:rPr>
              <w:t>, Matthew Conron</w:t>
            </w:r>
            <w:r w:rsidRPr="00052594">
              <w:rPr>
                <w:rFonts w:ascii="Arial" w:hAnsi="Arial" w:cs="Arial"/>
                <w:sz w:val="22"/>
                <w:szCs w:val="22"/>
                <w:vertAlign w:val="superscript"/>
                <w:lang w:val="en-AU" w:eastAsia="en-GB"/>
              </w:rPr>
              <w:t>1</w:t>
            </w:r>
            <w:r w:rsidRPr="00052594">
              <w:rPr>
                <w:rFonts w:ascii="Arial" w:hAnsi="Arial" w:cs="Arial"/>
                <w:sz w:val="22"/>
                <w:szCs w:val="22"/>
                <w:lang w:val="en-AU" w:eastAsia="en-GB"/>
              </w:rPr>
              <w:t xml:space="preserve"> </w:t>
            </w:r>
          </w:p>
        </w:tc>
      </w:tr>
      <w:tr w:rsidR="001564A4" w:rsidRPr="0050053A" w14:paraId="385A19D9" w14:textId="77777777" w:rsidTr="00052594">
        <w:trPr>
          <w:trHeight w:val="192"/>
          <w:jc w:val="center"/>
        </w:trPr>
        <w:tc>
          <w:tcPr>
            <w:tcW w:w="8669" w:type="dxa"/>
            <w:shd w:val="clear" w:color="auto" w:fill="auto"/>
          </w:tcPr>
          <w:p w14:paraId="45ED36BF" w14:textId="1D7BF937" w:rsidR="001564A4" w:rsidRPr="00E02A7A" w:rsidRDefault="00052594" w:rsidP="00052594">
            <w:pPr>
              <w:spacing w:before="120" w:after="120"/>
              <w:rPr>
                <w:rFonts w:ascii="Arial" w:hAnsi="Arial" w:cs="Arial"/>
                <w:i/>
                <w:sz w:val="22"/>
                <w:szCs w:val="22"/>
                <w:lang w:val="en-AU" w:eastAsia="en-GB"/>
              </w:rPr>
            </w:pPr>
            <w:r w:rsidRPr="00E02A7A">
              <w:rPr>
                <w:rFonts w:ascii="Arial" w:hAnsi="Arial" w:cs="Arial"/>
                <w:i/>
                <w:sz w:val="22"/>
                <w:szCs w:val="22"/>
                <w:lang w:val="en-AU" w:eastAsia="en-GB"/>
              </w:rPr>
              <w:t>1. Department of Respiratory and Sleep Medicine, St Vincent’s Hospital, Melbourne</w:t>
            </w:r>
            <w:r w:rsidRPr="00E02A7A">
              <w:rPr>
                <w:rFonts w:ascii="Arial" w:hAnsi="Arial" w:cs="Arial"/>
                <w:i/>
                <w:sz w:val="22"/>
                <w:szCs w:val="22"/>
                <w:lang w:val="en-AU" w:eastAsia="en-GB"/>
              </w:rPr>
              <w:br/>
              <w:t>2. Department of Rheumatology, St Vincent’s Hospital, Melbourne</w:t>
            </w:r>
            <w:r w:rsidRPr="00E02A7A">
              <w:rPr>
                <w:rFonts w:ascii="Arial" w:hAnsi="Arial" w:cs="Arial"/>
                <w:i/>
                <w:sz w:val="22"/>
                <w:szCs w:val="22"/>
                <w:lang w:val="en-AU" w:eastAsia="en-GB"/>
              </w:rPr>
              <w:br/>
              <w:t>3. Department of Medicine, The University of Melbourne at St Vincent’s Hospital</w:t>
            </w:r>
          </w:p>
        </w:tc>
      </w:tr>
      <w:tr w:rsidR="001564A4" w:rsidRPr="0050053A" w14:paraId="6DAF615A" w14:textId="77777777" w:rsidTr="00052594">
        <w:trPr>
          <w:trHeight w:hRule="exact" w:val="10433"/>
          <w:jc w:val="center"/>
        </w:trPr>
        <w:tc>
          <w:tcPr>
            <w:tcW w:w="8669" w:type="dxa"/>
            <w:shd w:val="clear" w:color="auto" w:fill="auto"/>
          </w:tcPr>
          <w:p w14:paraId="739E7937" w14:textId="7743249E" w:rsidR="001564A4" w:rsidRPr="00052594" w:rsidRDefault="00052594" w:rsidP="000A28E2">
            <w:pPr>
              <w:pStyle w:val="Pa12"/>
              <w:rPr>
                <w:rStyle w:val="A4"/>
              </w:rPr>
            </w:pPr>
            <w:r w:rsidRPr="00052594">
              <w:rPr>
                <w:rStyle w:val="A4"/>
                <w:b/>
                <w:bCs/>
              </w:rPr>
              <w:t>Introduction</w:t>
            </w:r>
            <w:r w:rsidR="001564A4" w:rsidRPr="00052594">
              <w:rPr>
                <w:rStyle w:val="A4"/>
                <w:b/>
                <w:bCs/>
              </w:rPr>
              <w:t xml:space="preserve">: </w:t>
            </w:r>
          </w:p>
          <w:p w14:paraId="219D1597" w14:textId="4F2DC752" w:rsidR="001564A4" w:rsidRPr="00052594" w:rsidRDefault="00052594" w:rsidP="000A28E2">
            <w:pPr>
              <w:pStyle w:val="Pa12"/>
              <w:rPr>
                <w:sz w:val="22"/>
                <w:szCs w:val="22"/>
                <w:lang w:val="en-AU"/>
              </w:rPr>
            </w:pPr>
            <w:r w:rsidRPr="00052594">
              <w:rPr>
                <w:sz w:val="22"/>
                <w:szCs w:val="22"/>
                <w:lang w:val="en-AU"/>
              </w:rPr>
              <w:t>With the adoption of new technical standards for the interpretation of pulmonary function tests (PFTs) by the European Respiratory Society (ERS) and American Thoracic Society (ATS), the interpretation of the severity of impairment under the new standards may change. We reviewed the PFTs of a cohort of rheumatologist-diagnosed scleroderma patients in Australia comparing grading of severity of PFTs impairment under the previous technical standard of PFTs interpretation in comparison to the new technical standards.</w:t>
            </w:r>
          </w:p>
          <w:p w14:paraId="3D770CF7" w14:textId="2A4465DD" w:rsidR="001564A4" w:rsidRPr="00052594" w:rsidRDefault="001564A4" w:rsidP="000A28E2">
            <w:pPr>
              <w:pStyle w:val="Pa12"/>
              <w:rPr>
                <w:rStyle w:val="A4"/>
                <w:bCs/>
              </w:rPr>
            </w:pPr>
          </w:p>
          <w:p w14:paraId="1B39336E" w14:textId="77777777" w:rsidR="001564A4" w:rsidRPr="00052594" w:rsidRDefault="001564A4" w:rsidP="000A28E2">
            <w:pPr>
              <w:pStyle w:val="Pa12"/>
              <w:rPr>
                <w:rStyle w:val="A4"/>
                <w:b/>
                <w:bCs/>
              </w:rPr>
            </w:pPr>
            <w:r w:rsidRPr="00052594">
              <w:rPr>
                <w:rStyle w:val="A4"/>
                <w:b/>
                <w:bCs/>
              </w:rPr>
              <w:t xml:space="preserve">Methods: </w:t>
            </w:r>
          </w:p>
          <w:p w14:paraId="3B06E79C" w14:textId="77777777" w:rsidR="00052594" w:rsidRPr="00052594" w:rsidRDefault="00052594" w:rsidP="00052594">
            <w:pPr>
              <w:pStyle w:val="Pa12"/>
              <w:rPr>
                <w:sz w:val="22"/>
                <w:szCs w:val="22"/>
                <w:lang w:val="en-AU"/>
              </w:rPr>
            </w:pPr>
            <w:r w:rsidRPr="00052594">
              <w:rPr>
                <w:sz w:val="22"/>
                <w:szCs w:val="22"/>
                <w:lang w:val="en-AU"/>
              </w:rPr>
              <w:t xml:space="preserve">The Australian Scleroderma Interest Group (ASIG) have a cohort of patients with scleroderma. As part of routine clinical care, many of these patients have undergone PFTs. We reviewed PFTs performed on these patients with particular attention to the severity grading of restriction as measured on spirometry and diffusion factor (DLCO). The severity of impairment was then re-graded according to the new ERS/ATS technical standards and compared to the previous severity grading. </w:t>
            </w:r>
          </w:p>
          <w:p w14:paraId="5029BAE6" w14:textId="77777777" w:rsidR="001564A4" w:rsidRPr="00052594" w:rsidRDefault="001564A4" w:rsidP="000A28E2">
            <w:pPr>
              <w:pStyle w:val="Pa12"/>
              <w:rPr>
                <w:rStyle w:val="A4"/>
                <w:bCs/>
              </w:rPr>
            </w:pPr>
          </w:p>
          <w:p w14:paraId="6BF3F094" w14:textId="77777777" w:rsidR="001564A4" w:rsidRPr="00052594" w:rsidRDefault="001564A4" w:rsidP="000A28E2">
            <w:pPr>
              <w:pStyle w:val="Pa12"/>
              <w:rPr>
                <w:rStyle w:val="A4"/>
                <w:b/>
                <w:bCs/>
              </w:rPr>
            </w:pPr>
            <w:r w:rsidRPr="00052594">
              <w:rPr>
                <w:rStyle w:val="A4"/>
                <w:b/>
                <w:bCs/>
              </w:rPr>
              <w:t xml:space="preserve">Results: </w:t>
            </w:r>
          </w:p>
          <w:p w14:paraId="4E784603" w14:textId="015FA068" w:rsidR="00052594" w:rsidRPr="00052594" w:rsidRDefault="00052594" w:rsidP="00052594">
            <w:pPr>
              <w:pStyle w:val="Pa12"/>
              <w:rPr>
                <w:sz w:val="22"/>
                <w:szCs w:val="22"/>
                <w:lang w:val="en-AU"/>
              </w:rPr>
            </w:pPr>
            <w:r w:rsidRPr="00052594">
              <w:rPr>
                <w:sz w:val="22"/>
                <w:szCs w:val="22"/>
                <w:lang w:val="en-AU"/>
              </w:rPr>
              <w:t xml:space="preserve">In total there were 506 patients in the scleroderma cohort available at the time of review. </w:t>
            </w:r>
            <w:r>
              <w:rPr>
                <w:sz w:val="22"/>
                <w:szCs w:val="22"/>
                <w:lang w:val="en-AU"/>
              </w:rPr>
              <w:br/>
            </w:r>
          </w:p>
          <w:p w14:paraId="7722AF29" w14:textId="457A56C5" w:rsidR="00052594" w:rsidRPr="00052594" w:rsidRDefault="00052594" w:rsidP="00052594">
            <w:pPr>
              <w:pStyle w:val="Pa12"/>
              <w:rPr>
                <w:sz w:val="22"/>
                <w:szCs w:val="22"/>
                <w:lang w:val="en-AU"/>
              </w:rPr>
            </w:pPr>
            <w:r w:rsidRPr="00052594">
              <w:rPr>
                <w:i/>
                <w:sz w:val="22"/>
                <w:szCs w:val="22"/>
                <w:lang w:val="en-AU"/>
              </w:rPr>
              <w:t>Severity of Restriction</w:t>
            </w:r>
            <w:r w:rsidRPr="00052594">
              <w:rPr>
                <w:sz w:val="22"/>
                <w:szCs w:val="22"/>
                <w:lang w:val="en-AU"/>
              </w:rPr>
              <w:t xml:space="preserve"> </w:t>
            </w:r>
            <w:r>
              <w:rPr>
                <w:sz w:val="22"/>
                <w:szCs w:val="22"/>
                <w:lang w:val="en-AU"/>
              </w:rPr>
              <w:br/>
            </w:r>
            <w:r w:rsidRPr="00052594">
              <w:rPr>
                <w:sz w:val="22"/>
                <w:szCs w:val="22"/>
                <w:lang w:val="en-AU"/>
              </w:rPr>
              <w:t xml:space="preserve">333 of these patients had undergone spirometry and 307 (92.2%) patients had spirometry data upon which we could apply the new technical standards. 285 (92.8%) of patients had no difference in grading of severity of restriction. 20 (6.5%) of patients were graded as less severe under the new technical standards, whilst only 2 (0.65%) patients were graded as more severe. </w:t>
            </w:r>
            <w:r>
              <w:rPr>
                <w:sz w:val="22"/>
                <w:szCs w:val="22"/>
                <w:lang w:val="en-AU"/>
              </w:rPr>
              <w:br/>
            </w:r>
          </w:p>
          <w:p w14:paraId="08A6C271" w14:textId="6B0F4FEE" w:rsidR="00052594" w:rsidRPr="00052594" w:rsidRDefault="00052594" w:rsidP="00052594">
            <w:pPr>
              <w:pStyle w:val="Pa12"/>
              <w:rPr>
                <w:sz w:val="22"/>
                <w:szCs w:val="22"/>
                <w:lang w:val="en-AU"/>
              </w:rPr>
            </w:pPr>
            <w:r w:rsidRPr="00052594">
              <w:rPr>
                <w:i/>
                <w:sz w:val="22"/>
                <w:szCs w:val="22"/>
                <w:lang w:val="en-AU"/>
              </w:rPr>
              <w:t>DLCO</w:t>
            </w:r>
            <w:r w:rsidRPr="00052594">
              <w:rPr>
                <w:sz w:val="22"/>
                <w:szCs w:val="22"/>
                <w:lang w:val="en-AU"/>
              </w:rPr>
              <w:br/>
              <w:t xml:space="preserve">326 patients had undergone DLCO testing and 253 (77.6%) of these patients had DLCO values upon which we could apply the new technical standards. Of these, 230 (90.9%) patients had no change in grading of severity of DLCO impairment under the new standards. 8 (3.16%) of patients were graded as less severe under the new standards, whilst 15 (5.93%) of patients were graded as more severe. </w:t>
            </w:r>
          </w:p>
          <w:p w14:paraId="68537800" w14:textId="05FB52A7" w:rsidR="001564A4" w:rsidRPr="00052594" w:rsidRDefault="001564A4" w:rsidP="000A28E2">
            <w:pPr>
              <w:pStyle w:val="Pa12"/>
              <w:rPr>
                <w:rStyle w:val="A4"/>
                <w:bCs/>
              </w:rPr>
            </w:pPr>
          </w:p>
          <w:p w14:paraId="652F7BE1" w14:textId="77777777" w:rsidR="001564A4" w:rsidRPr="00052594" w:rsidRDefault="001564A4" w:rsidP="000A28E2">
            <w:pPr>
              <w:pStyle w:val="Pa12"/>
              <w:rPr>
                <w:rStyle w:val="A4"/>
                <w:b/>
                <w:bCs/>
              </w:rPr>
            </w:pPr>
            <w:r w:rsidRPr="00052594">
              <w:rPr>
                <w:rStyle w:val="A4"/>
                <w:b/>
                <w:bCs/>
              </w:rPr>
              <w:t xml:space="preserve">Conclusion: </w:t>
            </w:r>
          </w:p>
          <w:p w14:paraId="69B04572" w14:textId="53BDBAC7" w:rsidR="001564A4" w:rsidRPr="00052594" w:rsidRDefault="00052594" w:rsidP="000A28E2">
            <w:pPr>
              <w:pStyle w:val="Pa12"/>
              <w:rPr>
                <w:sz w:val="22"/>
                <w:szCs w:val="22"/>
              </w:rPr>
            </w:pPr>
            <w:r w:rsidRPr="00052594">
              <w:rPr>
                <w:rFonts w:eastAsia="Calibri"/>
                <w:sz w:val="22"/>
                <w:szCs w:val="22"/>
                <w:lang w:val="en-AU" w:eastAsia="en-US"/>
              </w:rPr>
              <w:t>Overall there was a trend towards less severe grading of restriction and more severe grading of DLCO impairment in this cohort of scleroderma patients. More research is needed to determine the clinical significance of these differences.</w:t>
            </w:r>
            <w:r w:rsidR="001564A4" w:rsidRPr="00052594">
              <w:rPr>
                <w:sz w:val="22"/>
                <w:szCs w:val="22"/>
              </w:rPr>
              <w:br/>
            </w:r>
          </w:p>
          <w:p w14:paraId="2A651708" w14:textId="77777777" w:rsidR="001564A4" w:rsidRPr="00052594" w:rsidRDefault="001564A4" w:rsidP="000A28E2">
            <w:pPr>
              <w:pStyle w:val="Pa12"/>
              <w:rPr>
                <w:sz w:val="22"/>
                <w:szCs w:val="22"/>
              </w:rPr>
            </w:pPr>
          </w:p>
          <w:p w14:paraId="033167F9" w14:textId="77777777" w:rsidR="001564A4" w:rsidRPr="00052594" w:rsidRDefault="001564A4" w:rsidP="000A28E2">
            <w:pPr>
              <w:pStyle w:val="Pa12"/>
              <w:rPr>
                <w:rStyle w:val="A4"/>
                <w:bCs/>
              </w:rPr>
            </w:pPr>
            <w:r w:rsidRPr="00052594">
              <w:rPr>
                <w:rStyle w:val="A4"/>
                <w:bCs/>
              </w:rPr>
              <w:t xml:space="preserve"> </w:t>
            </w:r>
          </w:p>
          <w:p w14:paraId="196E7BAC" w14:textId="77777777" w:rsidR="001564A4" w:rsidRPr="00052594" w:rsidRDefault="001564A4" w:rsidP="000A28E2">
            <w:pPr>
              <w:pStyle w:val="Pa12"/>
              <w:rPr>
                <w:rStyle w:val="A4"/>
                <w:bCs/>
              </w:rPr>
            </w:pPr>
            <w:r w:rsidRPr="00052594">
              <w:rPr>
                <w:rStyle w:val="A4"/>
                <w:bCs/>
              </w:rPr>
              <w:br/>
            </w:r>
          </w:p>
          <w:p w14:paraId="3E8B4283" w14:textId="77777777" w:rsidR="001564A4" w:rsidRPr="00052594" w:rsidRDefault="001564A4" w:rsidP="000A28E2">
            <w:pPr>
              <w:pStyle w:val="Pa12"/>
              <w:rPr>
                <w:rStyle w:val="A4"/>
                <w:b/>
                <w:bCs/>
              </w:rPr>
            </w:pPr>
            <w:r w:rsidRPr="00052594">
              <w:rPr>
                <w:rStyle w:val="A4"/>
                <w:b/>
                <w:bCs/>
              </w:rPr>
              <w:t xml:space="preserve">Grant Support: </w:t>
            </w:r>
          </w:p>
          <w:p w14:paraId="7F8381F0" w14:textId="77777777" w:rsidR="001564A4" w:rsidRPr="00052594" w:rsidRDefault="001564A4" w:rsidP="000A28E2">
            <w:pPr>
              <w:pStyle w:val="Pa12"/>
              <w:rPr>
                <w:sz w:val="22"/>
                <w:szCs w:val="22"/>
              </w:rPr>
            </w:pP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r w:rsidRPr="00052594">
              <w:rPr>
                <w:sz w:val="22"/>
                <w:szCs w:val="22"/>
              </w:rPr>
              <w:br/>
            </w:r>
          </w:p>
          <w:p w14:paraId="731CD908" w14:textId="77777777" w:rsidR="001564A4" w:rsidRPr="00052594" w:rsidRDefault="001564A4" w:rsidP="000A28E2">
            <w:pPr>
              <w:pStyle w:val="Default"/>
            </w:pPr>
          </w:p>
          <w:p w14:paraId="34BF0A0F" w14:textId="77777777" w:rsidR="001564A4" w:rsidRPr="00052594" w:rsidRDefault="001564A4" w:rsidP="000A28E2">
            <w:pPr>
              <w:pStyle w:val="Default"/>
            </w:pPr>
          </w:p>
          <w:p w14:paraId="1FF1A88F" w14:textId="77777777" w:rsidR="001564A4" w:rsidRPr="00052594" w:rsidRDefault="001564A4" w:rsidP="000A28E2">
            <w:pPr>
              <w:pStyle w:val="Pa12"/>
              <w:rPr>
                <w:rStyle w:val="A4"/>
                <w:bCs/>
              </w:rPr>
            </w:pP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r w:rsidRPr="00052594">
              <w:rPr>
                <w:rStyle w:val="A4"/>
                <w:bCs/>
              </w:rPr>
              <w:br/>
            </w:r>
          </w:p>
          <w:p w14:paraId="14DC37E4" w14:textId="77777777" w:rsidR="001564A4" w:rsidRPr="00052594" w:rsidRDefault="001564A4" w:rsidP="000A28E2">
            <w:pPr>
              <w:pStyle w:val="Default"/>
              <w:rPr>
                <w:rStyle w:val="A4"/>
                <w:bCs/>
              </w:rPr>
            </w:pPr>
          </w:p>
          <w:p w14:paraId="5F58D34F" w14:textId="77777777" w:rsidR="001564A4" w:rsidRPr="00052594" w:rsidRDefault="001564A4" w:rsidP="000A28E2">
            <w:pPr>
              <w:pStyle w:val="Default"/>
              <w:rPr>
                <w:sz w:val="22"/>
                <w:szCs w:val="22"/>
                <w:lang w:val="en-US" w:eastAsia="en-GB"/>
              </w:rPr>
            </w:pP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r w:rsidRPr="00052594">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052594"/>
    <w:rsid w:val="001564A4"/>
    <w:rsid w:val="003638E4"/>
    <w:rsid w:val="0051574E"/>
    <w:rsid w:val="008803FA"/>
    <w:rsid w:val="00B12E32"/>
    <w:rsid w:val="00E02A7A"/>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6911e96c-4cc4-42d5-8e43-f93924cf6a05"/>
    <ds:schemaRef ds:uri="http://purl.org/dc/dcmitype/"/>
    <ds:schemaRef ds:uri="http://schemas.openxmlformats.org/package/2006/metadata/core-properties"/>
    <ds:schemaRef ds:uri="http://purl.org/dc/elements/1.1/"/>
    <ds:schemaRef ds:uri="9c8a2b7b-0bee-4c48-b0a6-23db8982d3bc"/>
    <ds:schemaRef ds:uri="http://purl.org/dc/terms/"/>
    <ds:schemaRef ds:uri="http://schemas.microsoft.com/office/2006/documentManagement/types"/>
    <ds:schemaRef ds:uri="http://schemas.microsoft.com/office/infopath/2007/PartnerControls"/>
    <ds:schemaRef ds:uri="cab52c9b-ab33-4221-8af9-54f8f2b86a80"/>
    <ds:schemaRef ds:uri="http://www.w3.org/XML/1998/namespac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2023-10-11T03:24:00Z</dcterms:created>
  <dcterms:modified xsi:type="dcterms:W3CDTF">2023-10-11T03:24:00Z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