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5807E3C7" w:rsidR="001564A4" w:rsidRPr="0050053A" w:rsidRDefault="003E37A6" w:rsidP="000A28E2">
            <w:pPr>
              <w:spacing w:before="120" w:after="120"/>
              <w:rPr>
                <w:rFonts w:ascii="Arial" w:hAnsi="Arial" w:cs="Arial"/>
                <w:b/>
                <w:sz w:val="22"/>
                <w:szCs w:val="22"/>
                <w:lang w:val="en-US" w:eastAsia="zh-CN"/>
              </w:rPr>
            </w:pPr>
            <w:r w:rsidRPr="003E37A6">
              <w:rPr>
                <w:rFonts w:ascii="Arial" w:hAnsi="Arial" w:cs="Arial"/>
                <w:b/>
                <w:sz w:val="22"/>
                <w:szCs w:val="22"/>
                <w:lang w:val="en-US" w:eastAsia="en-GB"/>
              </w:rPr>
              <w:t>Immune checkpoint inhibitor in lung cancer with thick-walled cystic lesions</w:t>
            </w:r>
          </w:p>
        </w:tc>
      </w:tr>
      <w:tr w:rsidR="001564A4" w:rsidRPr="0050053A" w14:paraId="0E2E035C" w14:textId="77777777" w:rsidTr="000A28E2">
        <w:trPr>
          <w:jc w:val="center"/>
        </w:trPr>
        <w:tc>
          <w:tcPr>
            <w:tcW w:w="8640" w:type="dxa"/>
            <w:shd w:val="clear" w:color="auto" w:fill="auto"/>
          </w:tcPr>
          <w:p w14:paraId="73B55295" w14:textId="5F3727D1" w:rsidR="001564A4" w:rsidRPr="00413B94" w:rsidRDefault="003E37A6" w:rsidP="000A28E2">
            <w:pPr>
              <w:spacing w:before="120" w:after="120"/>
              <w:rPr>
                <w:rFonts w:ascii="Arial" w:hAnsi="Arial" w:cs="Arial"/>
                <w:sz w:val="22"/>
                <w:szCs w:val="22"/>
                <w:u w:val="single"/>
                <w:lang w:eastAsia="zh-CN"/>
              </w:rPr>
            </w:pPr>
            <w:r>
              <w:rPr>
                <w:rFonts w:ascii="Arial" w:hAnsi="Arial" w:cs="Arial"/>
                <w:sz w:val="22"/>
                <w:szCs w:val="22"/>
                <w:lang w:val="en-US" w:eastAsia="en-GB"/>
              </w:rPr>
              <w:t>Minoru Inomata</w:t>
            </w:r>
            <w:r w:rsidRPr="00413B94">
              <w:rPr>
                <w:rFonts w:ascii="Arial" w:hAnsi="Arial" w:cs="Arial"/>
                <w:sz w:val="22"/>
                <w:szCs w:val="22"/>
                <w:vertAlign w:val="superscript"/>
                <w:lang w:val="en-US" w:eastAsia="en-GB"/>
              </w:rPr>
              <w:t>1</w:t>
            </w:r>
            <w:bookmarkStart w:id="0" w:name="Text8"/>
            <w:r w:rsidRPr="00413B94">
              <w:rPr>
                <w:rFonts w:ascii="Arial" w:hAnsi="Arial" w:cs="Arial"/>
                <w:sz w:val="22"/>
                <w:szCs w:val="22"/>
                <w:lang w:val="en-US" w:eastAsia="en-GB"/>
              </w:rPr>
              <w:t>,</w:t>
            </w:r>
            <w:bookmarkEnd w:id="0"/>
            <w:r>
              <w:rPr>
                <w:rFonts w:ascii="Arial" w:hAnsi="Arial" w:cs="Arial"/>
                <w:sz w:val="22"/>
                <w:szCs w:val="22"/>
                <w:lang w:val="en-US" w:eastAsia="en-GB"/>
              </w:rPr>
              <w:t xml:space="preserve"> Haruka Chin</w:t>
            </w:r>
            <w:r w:rsidRPr="00413B94">
              <w:rPr>
                <w:rFonts w:ascii="Arial" w:hAnsi="Arial" w:cs="Arial"/>
                <w:sz w:val="22"/>
                <w:szCs w:val="22"/>
                <w:vertAlign w:val="superscript"/>
                <w:lang w:val="en-US" w:eastAsia="en-GB"/>
              </w:rPr>
              <w:t>1</w:t>
            </w:r>
            <w:r w:rsidRPr="00413B94">
              <w:rPr>
                <w:rFonts w:ascii="Arial" w:hAnsi="Arial" w:cs="Arial"/>
                <w:sz w:val="22"/>
                <w:szCs w:val="22"/>
                <w:lang w:val="en-US" w:eastAsia="en-GB"/>
              </w:rPr>
              <w:t>,</w:t>
            </w:r>
            <w:r>
              <w:rPr>
                <w:rFonts w:ascii="Arial" w:hAnsi="Arial" w:cs="Arial"/>
                <w:sz w:val="22"/>
                <w:szCs w:val="22"/>
                <w:lang w:val="en-US" w:eastAsia="en-GB"/>
              </w:rPr>
              <w:t xml:space="preserve"> Takashi Maeda</w:t>
            </w:r>
            <w:r w:rsidRPr="00413B94">
              <w:rPr>
                <w:rFonts w:ascii="Arial" w:hAnsi="Arial" w:cs="Arial"/>
                <w:sz w:val="22"/>
                <w:szCs w:val="22"/>
                <w:vertAlign w:val="superscript"/>
                <w:lang w:val="en-US" w:eastAsia="en-GB"/>
              </w:rPr>
              <w:t>1</w:t>
            </w:r>
            <w:r w:rsidRPr="00413B94">
              <w:rPr>
                <w:rFonts w:ascii="Arial" w:hAnsi="Arial" w:cs="Arial"/>
                <w:sz w:val="22"/>
                <w:szCs w:val="22"/>
                <w:lang w:val="en-US" w:eastAsia="en-GB"/>
              </w:rPr>
              <w:t>,</w:t>
            </w:r>
            <w:r>
              <w:rPr>
                <w:rFonts w:ascii="Arial" w:hAnsi="Arial" w:cs="Arial"/>
                <w:sz w:val="22"/>
                <w:szCs w:val="22"/>
                <w:lang w:val="en-US" w:eastAsia="en-GB"/>
              </w:rPr>
              <w:t xml:space="preserve"> </w:t>
            </w:r>
            <w:proofErr w:type="spellStart"/>
            <w:r>
              <w:rPr>
                <w:rFonts w:ascii="Arial" w:hAnsi="Arial" w:cs="Arial"/>
                <w:sz w:val="22"/>
                <w:szCs w:val="22"/>
                <w:lang w:val="en-US" w:eastAsia="en-GB"/>
              </w:rPr>
              <w:t>Kyujiro</w:t>
            </w:r>
            <w:proofErr w:type="spellEnd"/>
            <w:r>
              <w:rPr>
                <w:rFonts w:ascii="Arial" w:hAnsi="Arial" w:cs="Arial"/>
                <w:sz w:val="22"/>
                <w:szCs w:val="22"/>
                <w:lang w:val="en-US" w:eastAsia="en-GB"/>
              </w:rPr>
              <w:t xml:space="preserve"> Nibuya</w:t>
            </w:r>
            <w:r w:rsidRPr="00413B94">
              <w:rPr>
                <w:rFonts w:ascii="Arial" w:hAnsi="Arial" w:cs="Arial"/>
                <w:sz w:val="22"/>
                <w:szCs w:val="22"/>
                <w:vertAlign w:val="superscript"/>
                <w:lang w:val="en-US" w:eastAsia="en-GB"/>
              </w:rPr>
              <w:t>1</w:t>
            </w:r>
            <w:r w:rsidRPr="00413B94">
              <w:rPr>
                <w:rFonts w:ascii="Arial" w:hAnsi="Arial" w:cs="Arial"/>
                <w:sz w:val="22"/>
                <w:szCs w:val="22"/>
                <w:lang w:val="en-US" w:eastAsia="en-GB"/>
              </w:rPr>
              <w:t>,</w:t>
            </w:r>
            <w:r>
              <w:rPr>
                <w:rFonts w:ascii="Arial" w:hAnsi="Arial" w:cs="Arial"/>
                <w:sz w:val="22"/>
                <w:szCs w:val="22"/>
                <w:lang w:val="en-US" w:eastAsia="en-GB"/>
              </w:rPr>
              <w:t xml:space="preserve"> Yu Ito</w:t>
            </w:r>
            <w:r w:rsidRPr="00413B94">
              <w:rPr>
                <w:rFonts w:ascii="Arial" w:hAnsi="Arial" w:cs="Arial"/>
                <w:sz w:val="22"/>
                <w:szCs w:val="22"/>
                <w:vertAlign w:val="superscript"/>
                <w:lang w:val="en-US" w:eastAsia="en-GB"/>
              </w:rPr>
              <w:t>1</w:t>
            </w:r>
            <w:r w:rsidRPr="0093223E">
              <w:rPr>
                <w:rFonts w:ascii="Arial" w:hAnsi="Arial" w:cs="Arial"/>
                <w:sz w:val="22"/>
                <w:szCs w:val="22"/>
                <w:lang w:val="en-US" w:eastAsia="en-GB"/>
              </w:rPr>
              <w:t xml:space="preserve">, </w:t>
            </w:r>
            <w:r>
              <w:rPr>
                <w:rFonts w:ascii="Arial" w:hAnsi="Arial" w:cs="Arial"/>
                <w:sz w:val="22"/>
                <w:szCs w:val="22"/>
                <w:lang w:val="en-US" w:eastAsia="en-GB"/>
              </w:rPr>
              <w:t>Keita Sakamoto</w:t>
            </w:r>
            <w:r w:rsidRPr="00413B94">
              <w:rPr>
                <w:rFonts w:ascii="Arial" w:hAnsi="Arial" w:cs="Arial"/>
                <w:sz w:val="22"/>
                <w:szCs w:val="22"/>
                <w:vertAlign w:val="superscript"/>
                <w:lang w:val="en-US" w:eastAsia="en-GB"/>
              </w:rPr>
              <w:t>1</w:t>
            </w:r>
            <w:r>
              <w:rPr>
                <w:rFonts w:ascii="Arial" w:hAnsi="Arial" w:cs="Arial"/>
                <w:sz w:val="22"/>
                <w:szCs w:val="22"/>
                <w:lang w:val="en-US" w:eastAsia="en-GB"/>
              </w:rPr>
              <w:t xml:space="preserve">, </w:t>
            </w:r>
            <w:proofErr w:type="spellStart"/>
            <w:r>
              <w:rPr>
                <w:rFonts w:ascii="Arial" w:hAnsi="Arial" w:cs="Arial"/>
                <w:sz w:val="22"/>
                <w:szCs w:val="22"/>
                <w:lang w:val="en-US" w:eastAsia="en-GB"/>
              </w:rPr>
              <w:t>Nobuyasu</w:t>
            </w:r>
            <w:proofErr w:type="spellEnd"/>
            <w:r>
              <w:rPr>
                <w:rFonts w:ascii="Arial" w:hAnsi="Arial" w:cs="Arial"/>
                <w:sz w:val="22"/>
                <w:szCs w:val="22"/>
                <w:lang w:val="en-US" w:eastAsia="en-GB"/>
              </w:rPr>
              <w:t xml:space="preserve"> Awano</w:t>
            </w:r>
            <w:r w:rsidRPr="00413B94">
              <w:rPr>
                <w:rFonts w:ascii="Arial" w:hAnsi="Arial" w:cs="Arial"/>
                <w:sz w:val="22"/>
                <w:szCs w:val="22"/>
                <w:vertAlign w:val="superscript"/>
                <w:lang w:val="en-US" w:eastAsia="en-GB"/>
              </w:rPr>
              <w:t>1</w:t>
            </w:r>
            <w:r>
              <w:rPr>
                <w:rFonts w:ascii="Arial" w:hAnsi="Arial" w:cs="Arial"/>
                <w:sz w:val="22"/>
                <w:szCs w:val="22"/>
                <w:lang w:val="en-US" w:eastAsia="en-GB"/>
              </w:rPr>
              <w:t>, Naoyuki Kuse</w:t>
            </w:r>
            <w:r w:rsidRPr="00413B94">
              <w:rPr>
                <w:rFonts w:ascii="Arial" w:hAnsi="Arial" w:cs="Arial"/>
                <w:sz w:val="22"/>
                <w:szCs w:val="22"/>
                <w:vertAlign w:val="superscript"/>
                <w:lang w:val="en-US" w:eastAsia="en-GB"/>
              </w:rPr>
              <w:t>1</w:t>
            </w:r>
            <w:r>
              <w:rPr>
                <w:rFonts w:ascii="Arial" w:hAnsi="Arial" w:cs="Arial"/>
                <w:sz w:val="22"/>
                <w:szCs w:val="22"/>
                <w:lang w:val="en-US" w:eastAsia="en-GB"/>
              </w:rPr>
              <w:t>, Takehiro Izuomo</w:t>
            </w:r>
            <w:r w:rsidRPr="00413B94">
              <w:rPr>
                <w:rFonts w:ascii="Arial" w:hAnsi="Arial" w:cs="Arial"/>
                <w:sz w:val="22"/>
                <w:szCs w:val="22"/>
                <w:vertAlign w:val="superscript"/>
                <w:lang w:val="en-US" w:eastAsia="en-GB"/>
              </w:rPr>
              <w:t>1</w:t>
            </w:r>
          </w:p>
        </w:tc>
      </w:tr>
      <w:tr w:rsidR="001564A4" w:rsidRPr="0050053A" w14:paraId="385A19D9" w14:textId="77777777" w:rsidTr="000A28E2">
        <w:trPr>
          <w:trHeight w:val="136"/>
          <w:jc w:val="center"/>
        </w:trPr>
        <w:tc>
          <w:tcPr>
            <w:tcW w:w="8640" w:type="dxa"/>
            <w:shd w:val="clear" w:color="auto" w:fill="auto"/>
          </w:tcPr>
          <w:p w14:paraId="45ED36BF" w14:textId="573DF811" w:rsidR="001564A4" w:rsidRPr="0050053A" w:rsidRDefault="003E37A6" w:rsidP="000A28E2">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1</w:t>
            </w:r>
            <w:r>
              <w:rPr>
                <w:rFonts w:ascii="Arial" w:hAnsi="Arial" w:cs="Arial"/>
                <w:i/>
                <w:sz w:val="22"/>
                <w:szCs w:val="22"/>
                <w:lang w:val="en-US" w:eastAsia="en-GB"/>
              </w:rPr>
              <w:t>Department of Respirology, Japanese Red Cross Medical Center</w:t>
            </w:r>
          </w:p>
        </w:tc>
      </w:tr>
      <w:tr w:rsidR="001564A4" w:rsidRPr="0050053A" w14:paraId="6DAF615A" w14:textId="77777777" w:rsidTr="003E37A6">
        <w:trPr>
          <w:trHeight w:hRule="exact" w:val="9589"/>
          <w:jc w:val="center"/>
        </w:trPr>
        <w:tc>
          <w:tcPr>
            <w:tcW w:w="8640" w:type="dxa"/>
            <w:shd w:val="clear" w:color="auto" w:fill="auto"/>
          </w:tcPr>
          <w:p w14:paraId="7CCCF34B" w14:textId="77777777" w:rsidR="003542FE" w:rsidRPr="003542FE" w:rsidRDefault="003542FE" w:rsidP="003542FE">
            <w:pPr>
              <w:pStyle w:val="Pa12"/>
              <w:rPr>
                <w:rStyle w:val="A4"/>
                <w:b/>
                <w:bCs/>
              </w:rPr>
            </w:pPr>
            <w:r w:rsidRPr="003542FE">
              <w:rPr>
                <w:rStyle w:val="A4"/>
                <w:b/>
                <w:bCs/>
              </w:rPr>
              <w:t>Introduction/Aim:</w:t>
            </w:r>
          </w:p>
          <w:p w14:paraId="5D9E6D4B" w14:textId="20335AB6" w:rsidR="003542FE" w:rsidRPr="003542FE" w:rsidRDefault="003542FE" w:rsidP="003542FE">
            <w:pPr>
              <w:pStyle w:val="Pa12"/>
              <w:rPr>
                <w:rStyle w:val="A4"/>
              </w:rPr>
            </w:pPr>
            <w:r w:rsidRPr="003542FE">
              <w:rPr>
                <w:rStyle w:val="A4"/>
              </w:rPr>
              <w:t xml:space="preserve">Immune checkpoint inhibitors (ICIs) are frequently utilized in the treatment of advanced lung cancer. </w:t>
            </w:r>
            <w:r>
              <w:rPr>
                <w:rStyle w:val="A4"/>
              </w:rPr>
              <w:t>R</w:t>
            </w:r>
            <w:r w:rsidRPr="003542FE">
              <w:rPr>
                <w:rStyle w:val="A4"/>
              </w:rPr>
              <w:t>isk of immune-related interstitial lung diseases (ILD)</w:t>
            </w:r>
            <w:r>
              <w:rPr>
                <w:rStyle w:val="A4"/>
              </w:rPr>
              <w:t xml:space="preserve"> is elevated</w:t>
            </w:r>
            <w:r w:rsidRPr="003542FE">
              <w:rPr>
                <w:rStyle w:val="A4"/>
              </w:rPr>
              <w:t>, particularly in patients with interstitial pneumonia (IP). Additionally, thick-walled cystic lesions (TWCLs) serve as distinctive indicators of combined pulmonary fibrosis and emphysema (CPFE). However, there is a paucity of data pertaining to the efficacy and safety of ICIs in lung cancer patients exhibiting TWCLs.</w:t>
            </w:r>
          </w:p>
          <w:p w14:paraId="21D3C990" w14:textId="77777777" w:rsidR="003542FE" w:rsidRPr="003542FE" w:rsidRDefault="003542FE" w:rsidP="003542FE">
            <w:pPr>
              <w:pStyle w:val="Pa12"/>
              <w:rPr>
                <w:rStyle w:val="A4"/>
              </w:rPr>
            </w:pPr>
          </w:p>
          <w:p w14:paraId="54E861B1" w14:textId="77777777" w:rsidR="003542FE" w:rsidRPr="003542FE" w:rsidRDefault="003542FE" w:rsidP="003542FE">
            <w:pPr>
              <w:pStyle w:val="Pa12"/>
              <w:rPr>
                <w:rStyle w:val="A4"/>
                <w:b/>
                <w:bCs/>
              </w:rPr>
            </w:pPr>
            <w:r w:rsidRPr="003542FE">
              <w:rPr>
                <w:rStyle w:val="A4"/>
                <w:b/>
                <w:bCs/>
              </w:rPr>
              <w:t>Methods:</w:t>
            </w:r>
          </w:p>
          <w:p w14:paraId="71F8AEF8" w14:textId="66259917" w:rsidR="003542FE" w:rsidRPr="003542FE" w:rsidRDefault="003542FE" w:rsidP="003542FE">
            <w:pPr>
              <w:pStyle w:val="Pa12"/>
              <w:rPr>
                <w:rStyle w:val="A4"/>
              </w:rPr>
            </w:pPr>
            <w:r w:rsidRPr="003542FE">
              <w:rPr>
                <w:rStyle w:val="A4"/>
              </w:rPr>
              <w:t>A retrospective analysis was conducted on 33 patients with IP among a cohort of 175 lung cancer patients who underwent ICI</w:t>
            </w:r>
            <w:r w:rsidR="008A280F">
              <w:rPr>
                <w:rStyle w:val="A4"/>
              </w:rPr>
              <w:t>s</w:t>
            </w:r>
            <w:r w:rsidRPr="003542FE">
              <w:rPr>
                <w:rStyle w:val="A4"/>
              </w:rPr>
              <w:t xml:space="preserve"> treatment at our medical institution.</w:t>
            </w:r>
          </w:p>
          <w:p w14:paraId="6C5D60F8" w14:textId="77777777" w:rsidR="003542FE" w:rsidRPr="003542FE" w:rsidRDefault="003542FE" w:rsidP="003542FE">
            <w:pPr>
              <w:pStyle w:val="Pa12"/>
              <w:rPr>
                <w:rStyle w:val="A4"/>
              </w:rPr>
            </w:pPr>
          </w:p>
          <w:p w14:paraId="555DF41E" w14:textId="77777777" w:rsidR="003542FE" w:rsidRPr="003542FE" w:rsidRDefault="003542FE" w:rsidP="003542FE">
            <w:pPr>
              <w:pStyle w:val="Pa12"/>
              <w:rPr>
                <w:rStyle w:val="A4"/>
                <w:b/>
                <w:bCs/>
              </w:rPr>
            </w:pPr>
            <w:r w:rsidRPr="003542FE">
              <w:rPr>
                <w:rStyle w:val="A4"/>
                <w:b/>
                <w:bCs/>
              </w:rPr>
              <w:t>Results:</w:t>
            </w:r>
          </w:p>
          <w:p w14:paraId="106AFDA4" w14:textId="70D8CC5E" w:rsidR="003542FE" w:rsidRPr="003542FE" w:rsidRDefault="003542FE" w:rsidP="003542FE">
            <w:pPr>
              <w:pStyle w:val="Pa12"/>
              <w:rPr>
                <w:rStyle w:val="A4"/>
              </w:rPr>
            </w:pPr>
            <w:r w:rsidRPr="003542FE">
              <w:rPr>
                <w:rStyle w:val="A4"/>
              </w:rPr>
              <w:t xml:space="preserve">Within the group of IP patients, 22 received a diagnosis of CPFE, and 12 manifested TWCLs. A </w:t>
            </w:r>
            <w:r>
              <w:rPr>
                <w:rStyle w:val="A4"/>
              </w:rPr>
              <w:t>significant</w:t>
            </w:r>
            <w:r w:rsidRPr="003542FE">
              <w:rPr>
                <w:rStyle w:val="A4"/>
              </w:rPr>
              <w:t xml:space="preserve"> increase in pack-years of cigarette smoking was evident, along with a </w:t>
            </w:r>
            <w:r>
              <w:rPr>
                <w:rStyle w:val="A4"/>
              </w:rPr>
              <w:t>significant</w:t>
            </w:r>
            <w:r w:rsidRPr="003542FE">
              <w:rPr>
                <w:rStyle w:val="A4"/>
              </w:rPr>
              <w:t xml:space="preserve"> reduction in the number of patients receiving radiation therapy, in the subgroup with TWCLs compared to those without.</w:t>
            </w:r>
          </w:p>
          <w:p w14:paraId="73912EC7" w14:textId="77777777" w:rsidR="003542FE" w:rsidRPr="003542FE" w:rsidRDefault="003542FE" w:rsidP="003542FE">
            <w:pPr>
              <w:pStyle w:val="Pa12"/>
              <w:rPr>
                <w:rStyle w:val="A4"/>
              </w:rPr>
            </w:pPr>
          </w:p>
          <w:p w14:paraId="23BC7CF5" w14:textId="62EED89E" w:rsidR="003542FE" w:rsidRPr="003542FE" w:rsidRDefault="003542FE" w:rsidP="003542FE">
            <w:pPr>
              <w:pStyle w:val="Pa12"/>
              <w:rPr>
                <w:rStyle w:val="A4"/>
              </w:rPr>
            </w:pPr>
            <w:r w:rsidRPr="003542FE">
              <w:rPr>
                <w:rStyle w:val="A4"/>
              </w:rPr>
              <w:t xml:space="preserve">The median survival </w:t>
            </w:r>
            <w:r>
              <w:rPr>
                <w:rStyle w:val="A4"/>
              </w:rPr>
              <w:t>time</w:t>
            </w:r>
            <w:r w:rsidRPr="003542FE">
              <w:rPr>
                <w:rStyle w:val="A4"/>
              </w:rPr>
              <w:t xml:space="preserve"> (MS</w:t>
            </w:r>
            <w:r>
              <w:rPr>
                <w:rStyle w:val="A4"/>
              </w:rPr>
              <w:t>T</w:t>
            </w:r>
            <w:r w:rsidRPr="003542FE">
              <w:rPr>
                <w:rStyle w:val="A4"/>
              </w:rPr>
              <w:t xml:space="preserve">) were as follows: 645 days for IP patients, 492 days for CPFE patients, and 616 days for those with TWCLs. Overall survival (OS) was significantly </w:t>
            </w:r>
            <w:r>
              <w:rPr>
                <w:rStyle w:val="A4"/>
              </w:rPr>
              <w:t>reduced</w:t>
            </w:r>
            <w:r w:rsidRPr="003542FE">
              <w:rPr>
                <w:rStyle w:val="A4"/>
              </w:rPr>
              <w:t xml:space="preserve">, and the incidence of immune-related ILD was </w:t>
            </w:r>
            <w:r>
              <w:rPr>
                <w:rStyle w:val="A4"/>
              </w:rPr>
              <w:t>significantly</w:t>
            </w:r>
            <w:r w:rsidRPr="003542FE">
              <w:rPr>
                <w:rStyle w:val="A4"/>
              </w:rPr>
              <w:t xml:space="preserve"> heightened in patients with IP or CPFE relative to those without these conditions. Among IP patients, no significant disparities emerged in OS and the incidence of immune-related ILD between those with TWCLs and those without.</w:t>
            </w:r>
          </w:p>
          <w:p w14:paraId="111295CE" w14:textId="77777777" w:rsidR="003542FE" w:rsidRPr="003542FE" w:rsidRDefault="003542FE" w:rsidP="003542FE">
            <w:pPr>
              <w:pStyle w:val="Pa12"/>
              <w:rPr>
                <w:rStyle w:val="A4"/>
              </w:rPr>
            </w:pPr>
          </w:p>
          <w:p w14:paraId="1109A84D" w14:textId="77777777" w:rsidR="003542FE" w:rsidRPr="003542FE" w:rsidRDefault="003542FE" w:rsidP="003542FE">
            <w:pPr>
              <w:pStyle w:val="Pa12"/>
              <w:rPr>
                <w:rStyle w:val="A4"/>
                <w:b/>
                <w:bCs/>
              </w:rPr>
            </w:pPr>
            <w:r w:rsidRPr="003542FE">
              <w:rPr>
                <w:rStyle w:val="A4"/>
                <w:b/>
                <w:bCs/>
              </w:rPr>
              <w:t>Conclusion:</w:t>
            </w:r>
          </w:p>
          <w:p w14:paraId="3A8A48BF" w14:textId="4B6EEE15" w:rsidR="003542FE" w:rsidRPr="003542FE" w:rsidRDefault="003542FE" w:rsidP="003542FE">
            <w:pPr>
              <w:pStyle w:val="Pa12"/>
              <w:rPr>
                <w:rStyle w:val="A4"/>
              </w:rPr>
            </w:pPr>
            <w:r w:rsidRPr="003542FE">
              <w:rPr>
                <w:rStyle w:val="A4"/>
              </w:rPr>
              <w:t>Of significance is the finding that the presence of TWCLs does not appear to augment the risk associated with ICIs. Consequently, it is plausible that patients afflicted with lung cancer, who present with TWCLs, may represent suitable candidates for ICI</w:t>
            </w:r>
            <w:r w:rsidR="008A280F">
              <w:rPr>
                <w:rStyle w:val="A4"/>
              </w:rPr>
              <w:t>s</w:t>
            </w:r>
            <w:r w:rsidRPr="003542FE">
              <w:rPr>
                <w:rStyle w:val="A4"/>
              </w:rPr>
              <w:t xml:space="preserve"> therapy.</w:t>
            </w:r>
          </w:p>
          <w:p w14:paraId="661598C2" w14:textId="77777777" w:rsidR="003542FE" w:rsidRPr="003542FE" w:rsidRDefault="003542FE" w:rsidP="003542FE">
            <w:pPr>
              <w:pStyle w:val="Pa12"/>
              <w:rPr>
                <w:rStyle w:val="A4"/>
              </w:rPr>
            </w:pPr>
          </w:p>
          <w:p w14:paraId="5F58D34F" w14:textId="68527273" w:rsidR="001564A4" w:rsidRPr="0050053A" w:rsidRDefault="003542FE" w:rsidP="003542FE">
            <w:pPr>
              <w:pStyle w:val="Pa12"/>
              <w:rPr>
                <w:sz w:val="22"/>
                <w:szCs w:val="22"/>
                <w:lang w:val="en-US" w:eastAsia="en-GB"/>
              </w:rPr>
            </w:pPr>
            <w:r w:rsidRPr="003542FE">
              <w:rPr>
                <w:rStyle w:val="A4"/>
                <w:b/>
                <w:bCs/>
              </w:rPr>
              <w:t>Grant Support</w:t>
            </w:r>
            <w:r w:rsidRPr="003542FE">
              <w:rPr>
                <w:rStyle w:val="A4"/>
              </w:rPr>
              <w:t>: None</w:t>
            </w:r>
            <w:r w:rsidR="001564A4">
              <w:rPr>
                <w:sz w:val="22"/>
                <w:szCs w:val="22"/>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6C4BC" w14:textId="77777777" w:rsidR="00593049" w:rsidRDefault="00593049" w:rsidP="003E37A6">
      <w:r>
        <w:separator/>
      </w:r>
    </w:p>
  </w:endnote>
  <w:endnote w:type="continuationSeparator" w:id="0">
    <w:p w14:paraId="058FAD41" w14:textId="77777777" w:rsidR="00593049" w:rsidRDefault="00593049" w:rsidP="003E3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11729" w14:textId="77777777" w:rsidR="00593049" w:rsidRDefault="00593049" w:rsidP="003E37A6">
      <w:r>
        <w:separator/>
      </w:r>
    </w:p>
  </w:footnote>
  <w:footnote w:type="continuationSeparator" w:id="0">
    <w:p w14:paraId="0188CC31" w14:textId="77777777" w:rsidR="00593049" w:rsidRDefault="00593049" w:rsidP="003E37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2A6571"/>
    <w:rsid w:val="003542FE"/>
    <w:rsid w:val="003E37A6"/>
    <w:rsid w:val="004F5FC8"/>
    <w:rsid w:val="0051574E"/>
    <w:rsid w:val="00593049"/>
    <w:rsid w:val="008803FA"/>
    <w:rsid w:val="008A280F"/>
    <w:rsid w:val="00B12E32"/>
    <w:rsid w:val="00E0700F"/>
    <w:rsid w:val="00EE2ECC"/>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EastAsia"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4A4"/>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a3">
    <w:name w:val="header"/>
    <w:basedOn w:val="a"/>
    <w:link w:val="a5"/>
    <w:uiPriority w:val="99"/>
    <w:unhideWhenUsed/>
    <w:rsid w:val="003E37A6"/>
    <w:pPr>
      <w:tabs>
        <w:tab w:val="center" w:pos="4252"/>
        <w:tab w:val="right" w:pos="8504"/>
      </w:tabs>
      <w:snapToGrid w:val="0"/>
    </w:pPr>
  </w:style>
  <w:style w:type="character" w:customStyle="1" w:styleId="a5">
    <w:name w:val="ヘッダー (文字)"/>
    <w:basedOn w:val="a0"/>
    <w:link w:val="a3"/>
    <w:uiPriority w:val="99"/>
    <w:rsid w:val="003E37A6"/>
    <w:rPr>
      <w:rFonts w:ascii="Times New Roman" w:eastAsia="Times New Roman" w:hAnsi="Times New Roman" w:cs="Times New Roman"/>
      <w:sz w:val="24"/>
      <w:szCs w:val="24"/>
      <w:lang w:val="en-GB"/>
    </w:rPr>
  </w:style>
  <w:style w:type="paragraph" w:styleId="a6">
    <w:name w:val="footer"/>
    <w:basedOn w:val="a"/>
    <w:link w:val="a7"/>
    <w:uiPriority w:val="99"/>
    <w:unhideWhenUsed/>
    <w:rsid w:val="003E37A6"/>
    <w:pPr>
      <w:tabs>
        <w:tab w:val="center" w:pos="4252"/>
        <w:tab w:val="right" w:pos="8504"/>
      </w:tabs>
      <w:snapToGrid w:val="0"/>
    </w:pPr>
  </w:style>
  <w:style w:type="character" w:customStyle="1" w:styleId="a7">
    <w:name w:val="フッター (文字)"/>
    <w:basedOn w:val="a0"/>
    <w:link w:val="a6"/>
    <w:uiPriority w:val="99"/>
    <w:rsid w:val="003E37A6"/>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24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9E4E03BB-3B94-43A7-A10E-EF4C0ABC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AEC4BD-6532-43B4-A4FB-1EE6E2A14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300</Words>
  <Characters>1748</Characters>
  <Application>Microsoft Office Word</Application>
  <DocSecurity>0</DocSecurity>
  <Lines>109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稔 猪俣</cp:lastModifiedBy>
  <cp:revision>3</cp:revision>
  <dcterms:created xsi:type="dcterms:W3CDTF">2023-10-16T07:02:00Z</dcterms:created>
  <dcterms:modified xsi:type="dcterms:W3CDTF">2023-10-16T07:04:00Z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