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9"/>
      </w:tblGrid>
      <w:tr w:rsidR="001564A4" w:rsidRPr="00BD565D" w14:paraId="5C38377B" w14:textId="77777777" w:rsidTr="00BD565D">
        <w:trPr>
          <w:jc w:val="center"/>
        </w:trPr>
        <w:tc>
          <w:tcPr>
            <w:tcW w:w="9209" w:type="dxa"/>
            <w:shd w:val="clear" w:color="auto" w:fill="auto"/>
          </w:tcPr>
          <w:p w14:paraId="5C44F357" w14:textId="761AA50A" w:rsidR="001564A4" w:rsidRPr="00BD565D" w:rsidRDefault="004574F9" w:rsidP="005469B2">
            <w:pPr>
              <w:pStyle w:val="Pa12"/>
              <w:spacing w:line="240" w:lineRule="auto"/>
              <w:jc w:val="both"/>
              <w:rPr>
                <w:b/>
                <w:bCs/>
                <w:color w:val="212121"/>
                <w:sz w:val="22"/>
                <w:szCs w:val="22"/>
              </w:rPr>
            </w:pPr>
            <w:r w:rsidRPr="00BD565D">
              <w:rPr>
                <w:b/>
                <w:bCs/>
                <w:color w:val="212121"/>
                <w:sz w:val="22"/>
                <w:szCs w:val="22"/>
              </w:rPr>
              <w:t>Role and therapeutic manipulation of iron metabolism in asthma and influenza-A virus infection associated disease</w:t>
            </w:r>
          </w:p>
        </w:tc>
      </w:tr>
      <w:tr w:rsidR="001564A4" w:rsidRPr="00BD565D" w14:paraId="0E2E035C" w14:textId="77777777" w:rsidTr="00BD565D">
        <w:trPr>
          <w:jc w:val="center"/>
        </w:trPr>
        <w:tc>
          <w:tcPr>
            <w:tcW w:w="9209" w:type="dxa"/>
            <w:shd w:val="clear" w:color="auto" w:fill="auto"/>
          </w:tcPr>
          <w:p w14:paraId="73B55295" w14:textId="63B9D5A1" w:rsidR="001564A4" w:rsidRPr="00BD565D" w:rsidRDefault="004574F9" w:rsidP="004574F9">
            <w:pPr>
              <w:jc w:val="both"/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</w:pPr>
            <w:r w:rsidRPr="00BD565D">
              <w:rPr>
                <w:rFonts w:ascii="Arial" w:hAnsi="Arial" w:cs="Arial"/>
                <w:b/>
                <w:sz w:val="22"/>
                <w:szCs w:val="22"/>
                <w:lang w:eastAsia="en-AU"/>
              </w:rPr>
              <w:t>Amber Pillar </w:t>
            </w:r>
            <w:r w:rsidRPr="00BD565D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AU"/>
              </w:rPr>
              <w:t>1</w:t>
            </w:r>
            <w:r w:rsidRPr="00BD565D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 xml:space="preserve"> Alexandra Brown </w:t>
            </w:r>
            <w:r w:rsidRPr="00BD565D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  <w:t>1</w:t>
            </w:r>
            <w:r w:rsidRPr="00BD565D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 </w:t>
            </w:r>
            <w:r w:rsidRPr="00BD565D">
              <w:rPr>
                <w:rFonts w:ascii="Arial" w:hAnsi="Arial" w:cs="Arial"/>
                <w:sz w:val="22"/>
                <w:szCs w:val="22"/>
                <w:lang w:val="en-US" w:eastAsia="en-GB"/>
              </w:rPr>
              <w:t>Katie Daly</w:t>
            </w:r>
            <w:r w:rsidRPr="00BD565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BD565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Pr="00BD565D">
              <w:rPr>
                <w:rFonts w:ascii="Arial" w:hAnsi="Arial" w:cs="Arial"/>
                <w:color w:val="212121"/>
                <w:sz w:val="22"/>
                <w:szCs w:val="22"/>
              </w:rPr>
              <w:t>Alen Faiz</w:t>
            </w:r>
            <w:r w:rsidRPr="00BD565D">
              <w:rPr>
                <w:rFonts w:ascii="Arial" w:hAnsi="Arial" w:cs="Arial"/>
                <w:color w:val="212121"/>
                <w:sz w:val="22"/>
                <w:szCs w:val="22"/>
                <w:vertAlign w:val="superscript"/>
              </w:rPr>
              <w:t>2</w:t>
            </w:r>
            <w:r w:rsidRPr="00BD565D">
              <w:rPr>
                <w:rFonts w:ascii="Arial" w:hAnsi="Arial" w:cs="Arial"/>
                <w:color w:val="212121"/>
                <w:sz w:val="22"/>
                <w:szCs w:val="22"/>
              </w:rPr>
              <w:t>, Karosham Diren Reddy</w:t>
            </w:r>
            <w:r w:rsidRPr="00BD565D">
              <w:rPr>
                <w:rFonts w:ascii="Arial" w:hAnsi="Arial" w:cs="Arial"/>
                <w:color w:val="212121"/>
                <w:sz w:val="22"/>
                <w:szCs w:val="22"/>
                <w:vertAlign w:val="superscript"/>
              </w:rPr>
              <w:t>2,3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, Jessica Barnes </w:t>
            </w:r>
            <w:r w:rsidRPr="00BD565D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  <w:t>1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 , Ama-Tawiah Essilfie</w:t>
            </w:r>
            <w:r w:rsidRPr="00BD565D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  <w:t>4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 , Gabriela Hoefel</w:t>
            </w:r>
            <w:r w:rsidRPr="00BD565D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  <w:t>1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 , Md Khadem Ali </w:t>
            </w:r>
            <w:r w:rsidRPr="00BD565D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  <w:t>5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 , </w:t>
            </w:r>
            <w:r w:rsidRPr="00BD565D">
              <w:rPr>
                <w:rFonts w:ascii="Arial" w:hAnsi="Arial" w:cs="Arial"/>
                <w:sz w:val="22"/>
                <w:szCs w:val="22"/>
                <w:lang w:eastAsia="en-GB"/>
              </w:rPr>
              <w:t>Kristy Nichol</w:t>
            </w:r>
            <w:r w:rsidRPr="00BD565D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1</w:t>
            </w:r>
            <w:r w:rsidRPr="00BD565D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Richard Kim</w:t>
            </w:r>
            <w:r w:rsidRPr="00BD565D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  <w:t>6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 , Chantal Donovan </w:t>
            </w:r>
            <w:r w:rsidRPr="00BD565D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  <w:t>6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 , Henry Gomez </w:t>
            </w:r>
            <w:r w:rsidRPr="00BD565D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  <w:t>1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 , Kanth Swaroop Vanka </w:t>
            </w:r>
            <w:r w:rsidRPr="00BD565D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  <w:t>1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 , </w:t>
            </w:r>
            <w:r w:rsidRPr="00BD565D">
              <w:rPr>
                <w:rFonts w:ascii="Arial" w:hAnsi="Arial" w:cs="Arial"/>
                <w:sz w:val="22"/>
                <w:szCs w:val="22"/>
                <w:lang w:eastAsia="en-GB"/>
              </w:rPr>
              <w:t>Kane Prebedon</w:t>
            </w:r>
            <w:r w:rsidRPr="00BD565D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1</w:t>
            </w:r>
            <w:r w:rsidRPr="00BD565D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Hock Tay </w:t>
            </w:r>
            <w:r w:rsidRPr="00BD565D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  <w:t>1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 , Nazanin Kermani</w:t>
            </w:r>
            <w:r w:rsidRPr="00BD565D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  <w:t>8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 , Yi-</w:t>
            </w:r>
            <w:proofErr w:type="spellStart"/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ke</w:t>
            </w:r>
            <w:proofErr w:type="spellEnd"/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 xml:space="preserve"> Guo</w:t>
            </w:r>
            <w:r w:rsidRPr="00BD565D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  <w:t>8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, Sharon Mumby</w:t>
            </w:r>
            <w:r w:rsidRPr="00BD565D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  <w:t>9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, Ian Adcock</w:t>
            </w:r>
            <w:r w:rsidRPr="00BD565D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  <w:t>9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 , Greg Anderson</w:t>
            </w:r>
            <w:r w:rsidRPr="00BD565D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  <w:t>4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 </w:t>
            </w:r>
            <w:r w:rsidRPr="00BD565D">
              <w:rPr>
                <w:rFonts w:ascii="Arial" w:hAnsi="Arial" w:cs="Arial"/>
                <w:sz w:val="22"/>
                <w:szCs w:val="22"/>
                <w:lang w:eastAsia="en-GB"/>
              </w:rPr>
              <w:t>Alan Hsu</w:t>
            </w:r>
            <w:r w:rsidRPr="00BD565D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1,10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, David Fraser</w:t>
            </w:r>
            <w:r w:rsidRPr="00BD565D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  <w:t>4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, Daniel Johnstone </w:t>
            </w:r>
            <w:r w:rsidRPr="00BD565D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  <w:t>1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 , Elizabeth Milward </w:t>
            </w:r>
            <w:r w:rsidRPr="00BD565D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  <w:t>1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 , Philip Hansbro</w:t>
            </w:r>
            <w:r w:rsidRPr="00BD565D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  <w:t>9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 , Peter Wark </w:t>
            </w:r>
            <w:r w:rsidRPr="00BD565D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  <w:t>1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 , David Reid</w:t>
            </w:r>
            <w:r w:rsidRPr="00BD565D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  <w:t>6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 , Paul Foster </w:t>
            </w:r>
            <w:r w:rsidRPr="00BD565D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  <w:t>1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 , </w:t>
            </w:r>
            <w:r w:rsidRPr="00BD565D">
              <w:rPr>
                <w:rFonts w:ascii="Arial" w:hAnsi="Arial" w:cs="Arial"/>
                <w:sz w:val="22"/>
                <w:szCs w:val="22"/>
                <w:lang w:val="en-US" w:eastAsia="en-GB"/>
              </w:rPr>
              <w:t>Jemma Mayall</w:t>
            </w:r>
            <w:r w:rsidRPr="00BD565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BD565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Pr="00BD565D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Jay Horvat </w:t>
            </w:r>
            <w:r w:rsidRPr="00BD565D">
              <w:rPr>
                <w:rFonts w:ascii="Arial" w:hAnsi="Arial" w:cs="Arial"/>
                <w:bCs/>
                <w:sz w:val="22"/>
                <w:szCs w:val="22"/>
                <w:vertAlign w:val="superscript"/>
                <w:lang w:eastAsia="en-AU"/>
              </w:rPr>
              <w:t>1</w:t>
            </w:r>
          </w:p>
        </w:tc>
      </w:tr>
      <w:tr w:rsidR="001564A4" w:rsidRPr="00BD565D" w14:paraId="385A19D9" w14:textId="77777777" w:rsidTr="00BD565D">
        <w:trPr>
          <w:trHeight w:val="136"/>
          <w:jc w:val="center"/>
        </w:trPr>
        <w:tc>
          <w:tcPr>
            <w:tcW w:w="9209" w:type="dxa"/>
            <w:shd w:val="clear" w:color="auto" w:fill="auto"/>
          </w:tcPr>
          <w:p w14:paraId="41083E8C" w14:textId="77777777" w:rsidR="004574F9" w:rsidRPr="00BD565D" w:rsidRDefault="004574F9" w:rsidP="004574F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</w:rPr>
            </w:pPr>
            <w:r w:rsidRPr="00BD565D">
              <w:rPr>
                <w:rFonts w:ascii="Arial" w:hAnsi="Arial" w:cs="Arial"/>
                <w:sz w:val="22"/>
                <w:szCs w:val="22"/>
              </w:rPr>
              <w:t xml:space="preserve">The University of Newcastle, Hunter Medical Research Institute, Newcastle, NSW, Australia </w:t>
            </w:r>
          </w:p>
          <w:p w14:paraId="7454523B" w14:textId="77777777" w:rsidR="004574F9" w:rsidRPr="00BD565D" w:rsidRDefault="004574F9" w:rsidP="004574F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</w:rPr>
            </w:pPr>
            <w:r w:rsidRPr="00BD565D">
              <w:rPr>
                <w:rFonts w:ascii="Arial" w:eastAsia="Times New Roman" w:hAnsi="Arial" w:cs="Arial"/>
                <w:color w:val="212121"/>
                <w:sz w:val="22"/>
                <w:szCs w:val="22"/>
              </w:rPr>
              <w:t>Respiratory bioinformatics and molecular biology group, School of Life Sciences, Faculty of Science, University of Technology Sydney, NSW, Australia</w:t>
            </w:r>
          </w:p>
          <w:p w14:paraId="61E38550" w14:textId="77777777" w:rsidR="004574F9" w:rsidRPr="00BD565D" w:rsidRDefault="004574F9" w:rsidP="004574F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color w:val="212121"/>
                <w:sz w:val="22"/>
                <w:szCs w:val="22"/>
              </w:rPr>
            </w:pPr>
            <w:r w:rsidRPr="00BD565D">
              <w:rPr>
                <w:rFonts w:ascii="Arial" w:eastAsia="Times New Roman" w:hAnsi="Arial" w:cs="Arial"/>
                <w:color w:val="212121"/>
                <w:sz w:val="22"/>
                <w:szCs w:val="22"/>
              </w:rPr>
              <w:t>Respiratory cellular and molecular biology group, Woolcock Institute of Medical Research, Glebe, NSW, Australia</w:t>
            </w:r>
          </w:p>
          <w:p w14:paraId="707E2CD8" w14:textId="77777777" w:rsidR="004574F9" w:rsidRPr="00BD565D" w:rsidRDefault="004574F9" w:rsidP="004574F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65D">
              <w:rPr>
                <w:rFonts w:ascii="Arial" w:hAnsi="Arial" w:cs="Arial"/>
                <w:sz w:val="22"/>
                <w:szCs w:val="22"/>
                <w:lang w:eastAsia="en-AU"/>
              </w:rPr>
              <w:t>QIMR-Berghofer Institute of Medical Research, Brisbane, QLD, Australia</w:t>
            </w:r>
          </w:p>
          <w:p w14:paraId="338B520E" w14:textId="77777777" w:rsidR="004574F9" w:rsidRPr="00BD565D" w:rsidRDefault="004574F9" w:rsidP="004574F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65D">
              <w:rPr>
                <w:rFonts w:ascii="Arial" w:hAnsi="Arial" w:cs="Arial"/>
                <w:sz w:val="22"/>
                <w:szCs w:val="22"/>
                <w:lang w:eastAsia="en-AU"/>
              </w:rPr>
              <w:t>Division of Pulmonary and Critical Care Medicine, Stanford University, Stanford, California, USA</w:t>
            </w:r>
          </w:p>
          <w:p w14:paraId="02D7B908" w14:textId="77777777" w:rsidR="004574F9" w:rsidRPr="00BD565D" w:rsidRDefault="004574F9" w:rsidP="004574F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65D">
              <w:rPr>
                <w:rFonts w:ascii="Arial" w:hAnsi="Arial" w:cs="Arial"/>
                <w:sz w:val="22"/>
                <w:szCs w:val="22"/>
              </w:rPr>
              <w:t>School of Life Sciences, Faculty of Science, University of Technology Sydney, Sydney, NSW, Australia</w:t>
            </w:r>
          </w:p>
          <w:p w14:paraId="28E2287F" w14:textId="77777777" w:rsidR="004574F9" w:rsidRPr="00BD565D" w:rsidRDefault="004574F9" w:rsidP="004574F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65D">
              <w:rPr>
                <w:rFonts w:ascii="Arial" w:hAnsi="Arial" w:cs="Arial"/>
                <w:sz w:val="22"/>
                <w:szCs w:val="22"/>
                <w:lang w:eastAsia="en-AU"/>
              </w:rPr>
              <w:t>Center for Inflammation, Centenary Institute, University of Technology, Sydney, NSW, Australia</w:t>
            </w:r>
          </w:p>
          <w:p w14:paraId="073859A6" w14:textId="77777777" w:rsidR="004574F9" w:rsidRPr="00BD565D" w:rsidRDefault="004574F9" w:rsidP="004574F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65D">
              <w:rPr>
                <w:rFonts w:ascii="Arial" w:hAnsi="Arial" w:cs="Arial"/>
                <w:sz w:val="22"/>
                <w:szCs w:val="22"/>
                <w:lang w:eastAsia="en-AU"/>
              </w:rPr>
              <w:t>Department of Computing &amp; Data Science Institute, Imperial College London, London, UK</w:t>
            </w:r>
          </w:p>
          <w:p w14:paraId="17D3E0B1" w14:textId="77777777" w:rsidR="004574F9" w:rsidRPr="00BD565D" w:rsidRDefault="004574F9" w:rsidP="004574F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BD565D">
              <w:rPr>
                <w:rFonts w:ascii="Arial" w:hAnsi="Arial" w:cs="Arial"/>
                <w:sz w:val="22"/>
                <w:szCs w:val="22"/>
                <w:lang w:eastAsia="en-AU"/>
              </w:rPr>
              <w:t>Airways Disease, National Heart &amp; Lung Institute, Imperial College London, London, UK</w:t>
            </w:r>
          </w:p>
          <w:p w14:paraId="45ED36BF" w14:textId="09BE4716" w:rsidR="001564A4" w:rsidRPr="00BD565D" w:rsidRDefault="004574F9" w:rsidP="004574F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BD565D">
              <w:rPr>
                <w:rFonts w:ascii="Arial" w:hAnsi="Arial" w:cs="Arial"/>
                <w:color w:val="000000"/>
                <w:sz w:val="22"/>
                <w:szCs w:val="22"/>
              </w:rPr>
              <w:t>National University of Singapore (NUS) and Duke-NUS Medical School, Singapore.</w:t>
            </w:r>
          </w:p>
        </w:tc>
      </w:tr>
      <w:tr w:rsidR="001564A4" w:rsidRPr="00BD565D" w14:paraId="6DAF615A" w14:textId="77777777" w:rsidTr="00BD565D">
        <w:trPr>
          <w:trHeight w:hRule="exact" w:val="7117"/>
          <w:jc w:val="center"/>
        </w:trPr>
        <w:tc>
          <w:tcPr>
            <w:tcW w:w="9209" w:type="dxa"/>
            <w:shd w:val="clear" w:color="auto" w:fill="auto"/>
          </w:tcPr>
          <w:p w14:paraId="10609230" w14:textId="277DBB47" w:rsidR="004574F9" w:rsidRPr="00BD565D" w:rsidRDefault="004574F9" w:rsidP="004574F9">
            <w:pPr>
              <w:pStyle w:val="Pa12"/>
              <w:spacing w:line="240" w:lineRule="auto"/>
              <w:jc w:val="both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BD565D">
              <w:rPr>
                <w:b/>
                <w:bCs/>
                <w:color w:val="000000" w:themeColor="text1"/>
                <w:sz w:val="22"/>
                <w:szCs w:val="22"/>
                <w:lang w:eastAsia="en-AU"/>
              </w:rPr>
              <w:t>Introduction</w:t>
            </w:r>
            <w:r w:rsidR="00AF534D" w:rsidRPr="00BD565D">
              <w:rPr>
                <w:b/>
                <w:bCs/>
                <w:color w:val="000000" w:themeColor="text1"/>
                <w:sz w:val="22"/>
                <w:szCs w:val="22"/>
                <w:lang w:eastAsia="en-AU"/>
              </w:rPr>
              <w:t>/Aim</w:t>
            </w:r>
            <w:r w:rsidRPr="00BD565D">
              <w:rPr>
                <w:b/>
                <w:bCs/>
                <w:color w:val="000000" w:themeColor="text1"/>
                <w:sz w:val="22"/>
                <w:szCs w:val="22"/>
                <w:lang w:eastAsia="en-AU"/>
              </w:rPr>
              <w:t>:</w:t>
            </w:r>
            <w:r w:rsidRPr="00BD565D">
              <w:rPr>
                <w:color w:val="000000" w:themeColor="text1"/>
                <w:sz w:val="22"/>
                <w:szCs w:val="22"/>
                <w:lang w:eastAsia="en-AU"/>
              </w:rPr>
              <w:t xml:space="preserve"> Dysregulated iron metabolism is associated with asthma and influenza-A infection (IAV). </w:t>
            </w:r>
            <w:r w:rsidRPr="00BD565D">
              <w:rPr>
                <w:color w:val="000000" w:themeColor="text1"/>
                <w:sz w:val="22"/>
                <w:szCs w:val="22"/>
                <w:lang w:val="en-AU" w:eastAsia="en-AU"/>
              </w:rPr>
              <w:t>The iron uptake protein, transferrin receptor-1 (</w:t>
            </w:r>
            <w:r w:rsidRPr="00BD565D">
              <w:rPr>
                <w:i/>
                <w:iCs/>
                <w:color w:val="000000" w:themeColor="text1"/>
                <w:sz w:val="22"/>
                <w:szCs w:val="22"/>
                <w:lang w:val="en-AU" w:eastAsia="en-AU"/>
              </w:rPr>
              <w:t>TFR1</w:t>
            </w:r>
            <w:r w:rsidRPr="00BD565D">
              <w:rPr>
                <w:color w:val="000000" w:themeColor="text1"/>
                <w:sz w:val="22"/>
                <w:szCs w:val="22"/>
                <w:lang w:val="en-AU" w:eastAsia="en-AU"/>
              </w:rPr>
              <w:t>) gene expression is increased in asthmatic sputum and murine lung tissue from experimental asthma and c</w:t>
            </w:r>
            <w:proofErr w:type="spellStart"/>
            <w:r w:rsidRPr="00BD565D">
              <w:rPr>
                <w:color w:val="000000" w:themeColor="text1"/>
                <w:sz w:val="22"/>
                <w:szCs w:val="22"/>
                <w:lang w:eastAsia="en-AU"/>
              </w:rPr>
              <w:t>ellular</w:t>
            </w:r>
            <w:proofErr w:type="spellEnd"/>
            <w:r w:rsidRPr="00BD565D">
              <w:rPr>
                <w:color w:val="000000" w:themeColor="text1"/>
                <w:sz w:val="22"/>
                <w:szCs w:val="22"/>
                <w:lang w:eastAsia="en-AU"/>
              </w:rPr>
              <w:t xml:space="preserve"> iron loading within the lung and airways </w:t>
            </w:r>
            <w:r w:rsidRPr="00BD565D">
              <w:rPr>
                <w:color w:val="000000" w:themeColor="text1"/>
                <w:sz w:val="22"/>
                <w:szCs w:val="22"/>
                <w:lang w:val="en-AU" w:eastAsia="en-AU"/>
              </w:rPr>
              <w:t xml:space="preserve">is associated with asthma pathophysiology. </w:t>
            </w:r>
            <w:r w:rsidRPr="00BD565D">
              <w:rPr>
                <w:color w:val="000000" w:themeColor="text1"/>
                <w:sz w:val="22"/>
                <w:szCs w:val="22"/>
                <w:lang w:eastAsia="en-AU"/>
              </w:rPr>
              <w:t xml:space="preserve">Respiratory viral infections are well-documented exacerbators of asthma and contribute to the development of asthma itself. </w:t>
            </w:r>
            <w:r w:rsidR="00AF534D" w:rsidRPr="00BD565D">
              <w:rPr>
                <w:color w:val="000000" w:themeColor="text1"/>
                <w:sz w:val="22"/>
                <w:szCs w:val="22"/>
                <w:lang w:eastAsia="en-AU"/>
              </w:rPr>
              <w:t xml:space="preserve">We hypothesised </w:t>
            </w:r>
            <w:r w:rsidR="00AF534D" w:rsidRPr="00BD565D">
              <w:rPr>
                <w:color w:val="212121"/>
                <w:sz w:val="22"/>
                <w:szCs w:val="22"/>
                <w:lang w:val="en-US" w:eastAsia="en-GB"/>
              </w:rPr>
              <w:t>that dysregulated iron metabolism in airway mucosal cells and tissues, drives the pathogenesis of asthma and IAV infection-induced disease. We aimed to determine the role and therapeutic potential in targeting TFR1 in both cases.</w:t>
            </w:r>
          </w:p>
          <w:p w14:paraId="63D4FE6C" w14:textId="77777777" w:rsidR="004574F9" w:rsidRPr="00BD565D" w:rsidRDefault="004574F9" w:rsidP="004574F9">
            <w:pPr>
              <w:pStyle w:val="Pa12"/>
              <w:spacing w:line="240" w:lineRule="auto"/>
              <w:jc w:val="both"/>
              <w:rPr>
                <w:i/>
                <w:iCs/>
                <w:color w:val="212121"/>
                <w:sz w:val="22"/>
                <w:szCs w:val="22"/>
                <w:lang w:val="en-US" w:eastAsia="en-GB"/>
              </w:rPr>
            </w:pPr>
            <w:r w:rsidRPr="00BD565D">
              <w:rPr>
                <w:b/>
                <w:bCs/>
                <w:color w:val="000000" w:themeColor="text1"/>
                <w:sz w:val="22"/>
                <w:szCs w:val="22"/>
                <w:lang w:eastAsia="en-AU"/>
              </w:rPr>
              <w:t>Methods:</w:t>
            </w:r>
            <w:r w:rsidRPr="00BD565D">
              <w:rPr>
                <w:color w:val="000000" w:themeColor="text1"/>
                <w:sz w:val="22"/>
                <w:szCs w:val="22"/>
                <w:lang w:eastAsia="en-AU"/>
              </w:rPr>
              <w:t xml:space="preserve"> Asthma was modelled by house dust mite (</w:t>
            </w:r>
            <w:r w:rsidRPr="00BD565D">
              <w:rPr>
                <w:sz w:val="22"/>
                <w:szCs w:val="22"/>
                <w:lang w:eastAsia="en-AU"/>
              </w:rPr>
              <w:t xml:space="preserve">HDM)-induced allergic airways disease and by culturing murine bone marrow derived-macrophages with IL-13 and HDM. </w:t>
            </w:r>
            <w:r w:rsidRPr="00BD565D">
              <w:rPr>
                <w:color w:val="212121"/>
                <w:sz w:val="22"/>
                <w:szCs w:val="22"/>
                <w:lang w:val="en-US" w:eastAsia="en-GB"/>
              </w:rPr>
              <w:t xml:space="preserve">Iron overload was modelled by culturing human airway epithelial cells (AECs) with ferric and ferrous iron, and </w:t>
            </w:r>
            <w:r w:rsidRPr="00BD565D">
              <w:rPr>
                <w:i/>
                <w:iCs/>
                <w:color w:val="212121"/>
                <w:sz w:val="22"/>
                <w:szCs w:val="22"/>
                <w:lang w:val="en-US" w:eastAsia="en-GB"/>
              </w:rPr>
              <w:t>ad libitum</w:t>
            </w:r>
            <w:r w:rsidRPr="00BD565D">
              <w:rPr>
                <w:color w:val="212121"/>
                <w:sz w:val="22"/>
                <w:szCs w:val="22"/>
                <w:lang w:val="en-US" w:eastAsia="en-GB"/>
              </w:rPr>
              <w:t xml:space="preserve"> consumption of 2% carbonyl iron in mice. </w:t>
            </w:r>
            <w:r w:rsidRPr="00BD565D">
              <w:rPr>
                <w:sz w:val="22"/>
                <w:szCs w:val="22"/>
                <w:lang w:eastAsia="en-AU"/>
              </w:rPr>
              <w:t>TFR1 and IL13 blocking antibodies (</w:t>
            </w:r>
            <w:r w:rsidRPr="00BD565D">
              <w:rPr>
                <w:rFonts w:eastAsia="Symbol"/>
                <w:color w:val="000000" w:themeColor="text1"/>
                <w:sz w:val="22"/>
                <w:szCs w:val="22"/>
              </w:rPr>
              <w:sym w:font="Symbol" w:char="F061"/>
            </w:r>
            <w:r w:rsidRPr="00BD565D">
              <w:rPr>
                <w:color w:val="000000" w:themeColor="text1"/>
                <w:sz w:val="22"/>
                <w:szCs w:val="22"/>
              </w:rPr>
              <w:t xml:space="preserve">TFR1, </w:t>
            </w:r>
            <w:r w:rsidRPr="00BD565D">
              <w:rPr>
                <w:rFonts w:eastAsia="Symbol"/>
                <w:color w:val="000000" w:themeColor="text1"/>
                <w:sz w:val="22"/>
                <w:szCs w:val="22"/>
              </w:rPr>
              <w:sym w:font="Symbol" w:char="F061"/>
            </w:r>
            <w:r w:rsidRPr="00BD565D">
              <w:rPr>
                <w:rFonts w:eastAsia="Symbol"/>
                <w:color w:val="000000" w:themeColor="text1"/>
                <w:sz w:val="22"/>
                <w:szCs w:val="22"/>
              </w:rPr>
              <w:t>IL13</w:t>
            </w:r>
            <w:r w:rsidRPr="00BD565D">
              <w:rPr>
                <w:color w:val="000000" w:themeColor="text1"/>
                <w:sz w:val="22"/>
                <w:szCs w:val="22"/>
              </w:rPr>
              <w:t xml:space="preserve">) </w:t>
            </w:r>
            <w:r w:rsidRPr="00BD565D">
              <w:rPr>
                <w:sz w:val="22"/>
                <w:szCs w:val="22"/>
                <w:lang w:eastAsia="en-AU"/>
              </w:rPr>
              <w:t xml:space="preserve">were administered intranasally in our asthma model and </w:t>
            </w:r>
            <w:r w:rsidRPr="00BD565D">
              <w:rPr>
                <w:rFonts w:eastAsia="Symbol"/>
                <w:color w:val="000000" w:themeColor="text1"/>
                <w:sz w:val="22"/>
                <w:szCs w:val="22"/>
              </w:rPr>
              <w:sym w:font="Symbol" w:char="F061"/>
            </w:r>
            <w:r w:rsidRPr="00BD565D">
              <w:rPr>
                <w:color w:val="000000" w:themeColor="text1"/>
                <w:sz w:val="22"/>
                <w:szCs w:val="22"/>
              </w:rPr>
              <w:t xml:space="preserve">TFR1 </w:t>
            </w:r>
            <w:r w:rsidRPr="00BD565D">
              <w:rPr>
                <w:sz w:val="22"/>
                <w:szCs w:val="22"/>
                <w:lang w:eastAsia="en-AU"/>
              </w:rPr>
              <w:t>was administered in our IAV-infection model</w:t>
            </w:r>
            <w:r w:rsidRPr="00BD565D">
              <w:rPr>
                <w:color w:val="212121"/>
                <w:sz w:val="22"/>
                <w:szCs w:val="22"/>
                <w:lang w:val="en-US" w:eastAsia="en-GB"/>
              </w:rPr>
              <w:t xml:space="preserve"> </w:t>
            </w:r>
            <w:r w:rsidRPr="00BD565D">
              <w:rPr>
                <w:sz w:val="22"/>
                <w:szCs w:val="22"/>
                <w:lang w:val="en-US"/>
              </w:rPr>
              <w:t>(7.5PFU; A/PR8/H1N1).</w:t>
            </w:r>
            <w:r w:rsidRPr="00BD565D">
              <w:rPr>
                <w:i/>
                <w:iCs/>
                <w:color w:val="212121"/>
                <w:sz w:val="22"/>
                <w:szCs w:val="22"/>
                <w:lang w:val="en-US" w:eastAsia="en-GB"/>
              </w:rPr>
              <w:t xml:space="preserve"> </w:t>
            </w:r>
          </w:p>
          <w:p w14:paraId="7D315DE8" w14:textId="77777777" w:rsidR="004574F9" w:rsidRPr="00BD565D" w:rsidRDefault="004574F9" w:rsidP="004574F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BD565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AU"/>
              </w:rPr>
              <w:t>Results</w:t>
            </w:r>
            <w:r w:rsidRPr="00BD565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: </w:t>
            </w:r>
            <w:r w:rsidRPr="00BD565D">
              <w:rPr>
                <w:rFonts w:ascii="Arial" w:eastAsia="Symbol" w:hAnsi="Arial" w:cs="Arial"/>
                <w:color w:val="000000" w:themeColor="text1"/>
                <w:sz w:val="22"/>
                <w:szCs w:val="22"/>
              </w:rPr>
              <w:sym w:font="Symbol" w:char="F061"/>
            </w:r>
            <w:r w:rsidRPr="00BD565D">
              <w:rPr>
                <w:rFonts w:ascii="Arial" w:hAnsi="Arial" w:cs="Arial"/>
                <w:color w:val="000000" w:themeColor="text1"/>
                <w:sz w:val="22"/>
                <w:szCs w:val="22"/>
              </w:rPr>
              <w:t>TFR1 reduced TFR1</w:t>
            </w:r>
            <w:r w:rsidRPr="00BD565D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hi</w:t>
            </w:r>
            <w:r w:rsidRPr="00BD56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granulocytes, </w:t>
            </w:r>
            <w:r w:rsidRPr="00BD565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airways inflammation, airways mucus hypersecretion, airways fibrosis and lung Matrix-Metalloproteinase-9 </w:t>
            </w:r>
            <w:r w:rsidRPr="00BD565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en-AU"/>
              </w:rPr>
              <w:t xml:space="preserve">(Mmp9) </w:t>
            </w:r>
            <w:r w:rsidRPr="00BD565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gene expression, and </w:t>
            </w:r>
            <w:r w:rsidRPr="00BD565D">
              <w:rPr>
                <w:rFonts w:ascii="Arial" w:hAnsi="Arial" w:cs="Arial"/>
                <w:color w:val="000000" w:themeColor="text1"/>
                <w:sz w:val="22"/>
                <w:szCs w:val="22"/>
              </w:rPr>
              <w:t>improved lung function</w:t>
            </w:r>
            <w:r w:rsidRPr="00BD565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 in our asthma model. </w:t>
            </w:r>
            <w:r w:rsidRPr="00BD56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Murine bone marrow derived macrophages (BMDM) stimulated with </w:t>
            </w:r>
            <w:r w:rsidRPr="00BD565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Il-13, </w:t>
            </w:r>
            <w:r w:rsidRPr="00BD56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had increased </w:t>
            </w:r>
            <w:r w:rsidRPr="00BD565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en-AU"/>
              </w:rPr>
              <w:t xml:space="preserve">Tfr1, </w:t>
            </w:r>
            <w:r w:rsidRPr="00BD565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and </w:t>
            </w:r>
            <w:r w:rsidRPr="00BD565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en-AU"/>
              </w:rPr>
              <w:t xml:space="preserve">Il13+HDM </w:t>
            </w:r>
            <w:r w:rsidRPr="00BD565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exposure</w:t>
            </w:r>
            <w:r w:rsidRPr="00BD565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en-AU"/>
              </w:rPr>
              <w:t xml:space="preserve"> </w:t>
            </w:r>
            <w:r w:rsidRPr="00BD565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increased</w:t>
            </w:r>
            <w:r w:rsidRPr="00BD565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en-AU"/>
              </w:rPr>
              <w:t xml:space="preserve"> </w:t>
            </w:r>
            <w:r w:rsidRPr="00BD565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Mmp9 </w:t>
            </w:r>
            <w:r w:rsidRPr="00BD565D">
              <w:rPr>
                <w:rFonts w:ascii="Arial" w:hAnsi="Arial" w:cs="Arial"/>
                <w:color w:val="000000" w:themeColor="text1"/>
                <w:sz w:val="22"/>
                <w:szCs w:val="22"/>
              </w:rPr>
              <w:t>gene</w:t>
            </w:r>
            <w:r w:rsidRPr="00BD565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BD565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expression. </w:t>
            </w:r>
            <w:r w:rsidRPr="00BD565D">
              <w:rPr>
                <w:rFonts w:ascii="Arial" w:eastAsia="Symbol" w:hAnsi="Arial" w:cs="Arial"/>
                <w:color w:val="000000" w:themeColor="text1"/>
                <w:sz w:val="22"/>
                <w:szCs w:val="22"/>
              </w:rPr>
              <w:sym w:font="Symbol" w:char="F061"/>
            </w:r>
            <w:r w:rsidRPr="00BD565D">
              <w:rPr>
                <w:rFonts w:ascii="Arial" w:eastAsia="Symbol" w:hAnsi="Arial" w:cs="Arial"/>
                <w:color w:val="000000" w:themeColor="text1"/>
                <w:sz w:val="22"/>
                <w:szCs w:val="22"/>
              </w:rPr>
              <w:t>IL13</w:t>
            </w:r>
            <w:r w:rsidRPr="00BD565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 reduced lung </w:t>
            </w:r>
            <w:r w:rsidRPr="00BD565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en-AU"/>
              </w:rPr>
              <w:t>Tfr1</w:t>
            </w:r>
            <w:r w:rsidRPr="00BD565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vertAlign w:val="superscript"/>
                <w:lang w:eastAsia="en-AU"/>
              </w:rPr>
              <w:t>hi</w:t>
            </w:r>
            <w:r w:rsidRPr="00BD565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 granulocytes </w:t>
            </w:r>
            <w:r w:rsidRPr="00BD565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en-AU"/>
              </w:rPr>
              <w:t>in vivo.</w:t>
            </w:r>
            <w:r w:rsidRPr="00BD565D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 </w:t>
            </w:r>
          </w:p>
          <w:p w14:paraId="69EC83F7" w14:textId="77777777" w:rsidR="004574F9" w:rsidRPr="00BD565D" w:rsidRDefault="004574F9" w:rsidP="004574F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BD565D">
              <w:rPr>
                <w:rFonts w:ascii="Arial" w:hAnsi="Arial" w:cs="Arial"/>
                <w:color w:val="212121"/>
                <w:sz w:val="22"/>
                <w:szCs w:val="22"/>
                <w:lang w:val="en-US" w:eastAsia="en-GB"/>
              </w:rPr>
              <w:t xml:space="preserve">Increased iron in AECs and murine lung was associated with increased viral </w:t>
            </w:r>
            <w:proofErr w:type="spellStart"/>
            <w:r w:rsidRPr="00BD565D">
              <w:rPr>
                <w:rFonts w:ascii="Arial" w:hAnsi="Arial" w:cs="Arial"/>
                <w:color w:val="212121"/>
                <w:sz w:val="22"/>
                <w:szCs w:val="22"/>
                <w:lang w:val="en-US" w:eastAsia="en-GB"/>
              </w:rPr>
              <w:t>titre</w:t>
            </w:r>
            <w:proofErr w:type="spellEnd"/>
            <w:r w:rsidRPr="00BD565D">
              <w:rPr>
                <w:rFonts w:ascii="Arial" w:hAnsi="Arial" w:cs="Arial"/>
                <w:color w:val="212121"/>
                <w:sz w:val="22"/>
                <w:szCs w:val="22"/>
                <w:lang w:val="en-US" w:eastAsia="en-GB"/>
              </w:rPr>
              <w:t xml:space="preserve"> and IAV-induced disease severity. </w:t>
            </w:r>
            <w:r w:rsidRPr="00BD565D">
              <w:rPr>
                <w:rFonts w:ascii="Arial" w:hAnsi="Arial" w:cs="Arial"/>
                <w:i/>
                <w:iCs/>
                <w:color w:val="212121"/>
                <w:sz w:val="22"/>
                <w:szCs w:val="22"/>
                <w:lang w:val="en-US" w:eastAsia="en-GB"/>
              </w:rPr>
              <w:t xml:space="preserve">TFR1 </w:t>
            </w:r>
            <w:r w:rsidRPr="00BD565D">
              <w:rPr>
                <w:rFonts w:ascii="Arial" w:hAnsi="Arial" w:cs="Arial"/>
                <w:color w:val="212121"/>
                <w:sz w:val="22"/>
                <w:szCs w:val="22"/>
                <w:lang w:val="en-US" w:eastAsia="en-GB"/>
              </w:rPr>
              <w:t xml:space="preserve">gene expression was decreased in IAV-infected AECs and murine lung tissue. </w:t>
            </w:r>
            <w:r w:rsidRPr="00BD565D">
              <w:rPr>
                <w:rFonts w:ascii="Arial" w:eastAsia="Symbol" w:hAnsi="Arial" w:cs="Arial"/>
                <w:color w:val="000000" w:themeColor="text1"/>
                <w:sz w:val="22"/>
                <w:szCs w:val="22"/>
              </w:rPr>
              <w:t>a</w:t>
            </w:r>
            <w:r w:rsidRPr="00BD565D">
              <w:rPr>
                <w:rFonts w:ascii="Arial" w:hAnsi="Arial" w:cs="Arial"/>
                <w:color w:val="000000" w:themeColor="text1"/>
                <w:sz w:val="22"/>
                <w:szCs w:val="22"/>
              </w:rPr>
              <w:t>TFR1</w:t>
            </w:r>
            <w:r w:rsidRPr="00BD565D">
              <w:rPr>
                <w:rFonts w:ascii="Arial" w:hAnsi="Arial" w:cs="Arial"/>
                <w:i/>
                <w:iCs/>
                <w:color w:val="212121"/>
                <w:sz w:val="22"/>
                <w:szCs w:val="22"/>
                <w:lang w:val="en-US" w:eastAsia="en-GB"/>
              </w:rPr>
              <w:t xml:space="preserve"> </w:t>
            </w:r>
            <w:r w:rsidRPr="00BD565D">
              <w:rPr>
                <w:rFonts w:ascii="Arial" w:hAnsi="Arial" w:cs="Arial"/>
                <w:color w:val="212121"/>
                <w:sz w:val="22"/>
                <w:szCs w:val="22"/>
                <w:lang w:val="en-US" w:eastAsia="en-GB"/>
              </w:rPr>
              <w:t xml:space="preserve">improved IAV-induced disease outcomes </w:t>
            </w:r>
            <w:r w:rsidRPr="00BD565D">
              <w:rPr>
                <w:rFonts w:ascii="Arial" w:hAnsi="Arial" w:cs="Arial"/>
                <w:i/>
                <w:iCs/>
                <w:color w:val="212121"/>
                <w:sz w:val="22"/>
                <w:szCs w:val="22"/>
                <w:lang w:val="en-US" w:eastAsia="en-GB"/>
              </w:rPr>
              <w:t>in vivo</w:t>
            </w:r>
            <w:r w:rsidRPr="00BD565D">
              <w:rPr>
                <w:rFonts w:ascii="Arial" w:hAnsi="Arial" w:cs="Arial"/>
                <w:color w:val="212121"/>
                <w:sz w:val="22"/>
                <w:szCs w:val="22"/>
                <w:lang w:val="en-US" w:eastAsia="en-GB"/>
              </w:rPr>
              <w:t xml:space="preserve"> (weight loss, airways inflammation, lung function and anti-viral and pro-inflammatory responses).  </w:t>
            </w:r>
          </w:p>
          <w:p w14:paraId="318F9025" w14:textId="77777777" w:rsidR="004574F9" w:rsidRPr="00BD565D" w:rsidRDefault="004574F9" w:rsidP="004574F9">
            <w:pPr>
              <w:pStyle w:val="Pa12"/>
              <w:spacing w:line="240" w:lineRule="auto"/>
              <w:jc w:val="both"/>
              <w:rPr>
                <w:sz w:val="22"/>
                <w:szCs w:val="22"/>
              </w:rPr>
            </w:pPr>
            <w:r w:rsidRPr="00BD565D">
              <w:rPr>
                <w:b/>
                <w:bCs/>
                <w:color w:val="000000" w:themeColor="text1"/>
                <w:sz w:val="22"/>
                <w:szCs w:val="22"/>
                <w:lang w:eastAsia="en-AU"/>
              </w:rPr>
              <w:t>Conclusion:</w:t>
            </w:r>
            <w:r w:rsidRPr="00BD565D">
              <w:rPr>
                <w:color w:val="000000" w:themeColor="text1"/>
                <w:sz w:val="22"/>
                <w:szCs w:val="22"/>
                <w:lang w:eastAsia="en-AU"/>
              </w:rPr>
              <w:t xml:space="preserve"> This study demonstrates therapeutic potential for manipulation of TFR1 in asthma and respiratory IAV infection. </w:t>
            </w:r>
          </w:p>
          <w:p w14:paraId="219D1597" w14:textId="77777777" w:rsidR="001564A4" w:rsidRPr="00BD565D" w:rsidRDefault="001564A4" w:rsidP="000A28E2">
            <w:pPr>
              <w:pStyle w:val="Pa12"/>
              <w:rPr>
                <w:sz w:val="22"/>
                <w:szCs w:val="22"/>
              </w:rPr>
            </w:pPr>
            <w:r w:rsidRPr="00BD565D">
              <w:rPr>
                <w:sz w:val="22"/>
                <w:szCs w:val="22"/>
              </w:rPr>
              <w:br/>
            </w:r>
          </w:p>
          <w:p w14:paraId="2251F6D5" w14:textId="77777777" w:rsidR="001564A4" w:rsidRPr="00BD565D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7F8381F0" w14:textId="5C90F712" w:rsidR="001564A4" w:rsidRPr="00BD565D" w:rsidRDefault="001564A4" w:rsidP="000A28E2">
            <w:pPr>
              <w:pStyle w:val="Pa12"/>
              <w:rPr>
                <w:sz w:val="22"/>
                <w:szCs w:val="22"/>
              </w:rPr>
            </w:pPr>
            <w:r w:rsidRPr="00BD565D">
              <w:rPr>
                <w:sz w:val="22"/>
                <w:szCs w:val="22"/>
              </w:rPr>
              <w:br/>
            </w:r>
            <w:r w:rsidRPr="00BD565D">
              <w:rPr>
                <w:sz w:val="22"/>
                <w:szCs w:val="22"/>
              </w:rPr>
              <w:br/>
            </w:r>
            <w:r w:rsidRPr="00BD565D">
              <w:rPr>
                <w:sz w:val="22"/>
                <w:szCs w:val="22"/>
              </w:rPr>
              <w:br/>
            </w:r>
            <w:r w:rsidRPr="00BD565D">
              <w:rPr>
                <w:sz w:val="22"/>
                <w:szCs w:val="22"/>
              </w:rPr>
              <w:br/>
            </w:r>
          </w:p>
          <w:p w14:paraId="731CD908" w14:textId="77777777" w:rsidR="001564A4" w:rsidRPr="00BD565D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BD565D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BD565D" w:rsidRDefault="001564A4" w:rsidP="000A28E2">
            <w:pPr>
              <w:pStyle w:val="Pa12"/>
              <w:rPr>
                <w:rStyle w:val="A4"/>
                <w:bCs/>
              </w:rPr>
            </w:pPr>
            <w:r w:rsidRPr="00BD565D">
              <w:rPr>
                <w:rStyle w:val="A4"/>
                <w:bCs/>
              </w:rPr>
              <w:br/>
            </w:r>
            <w:r w:rsidRPr="00BD565D">
              <w:rPr>
                <w:rStyle w:val="A4"/>
                <w:bCs/>
              </w:rPr>
              <w:br/>
            </w:r>
            <w:r w:rsidRPr="00BD565D">
              <w:rPr>
                <w:rStyle w:val="A4"/>
                <w:bCs/>
              </w:rPr>
              <w:br/>
            </w:r>
            <w:r w:rsidRPr="00BD565D">
              <w:rPr>
                <w:rStyle w:val="A4"/>
                <w:bCs/>
              </w:rPr>
              <w:br/>
            </w:r>
            <w:r w:rsidRPr="00BD565D">
              <w:rPr>
                <w:rStyle w:val="A4"/>
                <w:bCs/>
              </w:rPr>
              <w:br/>
            </w:r>
            <w:r w:rsidRPr="00BD565D">
              <w:rPr>
                <w:rStyle w:val="A4"/>
                <w:bCs/>
              </w:rPr>
              <w:br/>
            </w:r>
            <w:r w:rsidRPr="00BD565D">
              <w:rPr>
                <w:rStyle w:val="A4"/>
                <w:bCs/>
              </w:rPr>
              <w:br/>
            </w:r>
            <w:r w:rsidRPr="00BD565D">
              <w:rPr>
                <w:rStyle w:val="A4"/>
                <w:bCs/>
              </w:rPr>
              <w:br/>
            </w:r>
            <w:r w:rsidRPr="00BD565D">
              <w:rPr>
                <w:rStyle w:val="A4"/>
                <w:bCs/>
              </w:rPr>
              <w:br/>
            </w:r>
            <w:r w:rsidRPr="00BD565D">
              <w:rPr>
                <w:rStyle w:val="A4"/>
                <w:bCs/>
              </w:rPr>
              <w:br/>
            </w:r>
            <w:r w:rsidRPr="00BD565D">
              <w:rPr>
                <w:rStyle w:val="A4"/>
                <w:bCs/>
              </w:rPr>
              <w:br/>
            </w:r>
          </w:p>
          <w:p w14:paraId="14DC37E4" w14:textId="77777777" w:rsidR="001564A4" w:rsidRPr="00BD565D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BD565D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  <w:r w:rsidRPr="00BD565D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Pr="00BD565D" w:rsidRDefault="00E0700F" w:rsidP="001564A4">
      <w:pPr>
        <w:rPr>
          <w:rFonts w:ascii="Arial" w:hAnsi="Arial" w:cs="Arial"/>
          <w:sz w:val="22"/>
          <w:szCs w:val="22"/>
        </w:rPr>
      </w:pPr>
    </w:p>
    <w:sectPr w:rsidR="00E0700F" w:rsidRPr="00BD5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0A37"/>
    <w:multiLevelType w:val="hybridMultilevel"/>
    <w:tmpl w:val="1C902A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4574F9"/>
    <w:rsid w:val="0051574E"/>
    <w:rsid w:val="005469B2"/>
    <w:rsid w:val="00664FEB"/>
    <w:rsid w:val="008803FA"/>
    <w:rsid w:val="00AF534D"/>
    <w:rsid w:val="00B12E32"/>
    <w:rsid w:val="00B1571B"/>
    <w:rsid w:val="00B63C57"/>
    <w:rsid w:val="00BD565D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4574F9"/>
    <w:pPr>
      <w:ind w:left="720"/>
      <w:contextualSpacing/>
    </w:pPr>
    <w:rPr>
      <w:rFonts w:eastAsiaTheme="minorHAns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Sinead Litt</cp:lastModifiedBy>
  <cp:revision>4</cp:revision>
  <dcterms:created xsi:type="dcterms:W3CDTF">2023-10-21T01:09:00Z</dcterms:created>
  <dcterms:modified xsi:type="dcterms:W3CDTF">2023-10-21T01:09:00Z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